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56" w:rsidRDefault="00F27856">
      <w:pPr>
        <w:pStyle w:val="ConsPlusTitlePage"/>
      </w:pPr>
      <w:r>
        <w:t xml:space="preserve">Документ предоставлен </w:t>
      </w:r>
      <w:hyperlink r:id="rId4" w:history="1">
        <w:r>
          <w:rPr>
            <w:color w:val="0000FF"/>
          </w:rPr>
          <w:t>КонсультантПлюс</w:t>
        </w:r>
      </w:hyperlink>
      <w:r>
        <w:br/>
      </w:r>
    </w:p>
    <w:p w:rsidR="00F27856" w:rsidRDefault="00F27856">
      <w:pPr>
        <w:pStyle w:val="ConsPlusNormal"/>
        <w:jc w:val="both"/>
        <w:outlineLvl w:val="0"/>
      </w:pPr>
    </w:p>
    <w:p w:rsidR="00F27856" w:rsidRDefault="00F27856">
      <w:pPr>
        <w:pStyle w:val="ConsPlusTitle"/>
        <w:jc w:val="center"/>
        <w:outlineLvl w:val="0"/>
      </w:pPr>
      <w:r>
        <w:t>КОЛЛЕГИЯ АДМИНИСТРАЦИИ КЕМЕРОВСКОЙ ОБЛАСТИ</w:t>
      </w:r>
    </w:p>
    <w:p w:rsidR="00F27856" w:rsidRDefault="00F27856">
      <w:pPr>
        <w:pStyle w:val="ConsPlusTitle"/>
        <w:jc w:val="both"/>
      </w:pPr>
    </w:p>
    <w:p w:rsidR="00F27856" w:rsidRDefault="00F27856">
      <w:pPr>
        <w:pStyle w:val="ConsPlusTitle"/>
        <w:jc w:val="center"/>
      </w:pPr>
      <w:r>
        <w:t>ПОСТАНОВЛЕНИЕ</w:t>
      </w:r>
    </w:p>
    <w:p w:rsidR="00F27856" w:rsidRDefault="00F27856">
      <w:pPr>
        <w:pStyle w:val="ConsPlusTitle"/>
        <w:jc w:val="center"/>
      </w:pPr>
      <w:r>
        <w:t>от 27 ноября 2018 г. N 515</w:t>
      </w:r>
    </w:p>
    <w:p w:rsidR="00F27856" w:rsidRDefault="00F27856">
      <w:pPr>
        <w:pStyle w:val="ConsPlusTitle"/>
        <w:jc w:val="both"/>
      </w:pPr>
    </w:p>
    <w:p w:rsidR="00F27856" w:rsidRDefault="00F27856">
      <w:pPr>
        <w:pStyle w:val="ConsPlusTitle"/>
        <w:jc w:val="center"/>
      </w:pPr>
      <w:r>
        <w:t>ОБ УТВЕРЖДЕНИИ ПОРЯДКА ПРЕДОСТАВЛЕНИЯ СУБСИДИИ</w:t>
      </w:r>
    </w:p>
    <w:p w:rsidR="00F27856" w:rsidRDefault="00F27856">
      <w:pPr>
        <w:pStyle w:val="ConsPlusTitle"/>
        <w:jc w:val="center"/>
      </w:pPr>
      <w:r>
        <w:t>НЕКОММЕРЧЕСКИМ ОРГАНИЗАЦИЯМ, НЕ ЯВЛЯЮЩИМСЯ ГОСУДАРСТВЕННЫМИ</w:t>
      </w:r>
    </w:p>
    <w:p w:rsidR="00F27856" w:rsidRDefault="00F27856">
      <w:pPr>
        <w:pStyle w:val="ConsPlusTitle"/>
        <w:jc w:val="center"/>
      </w:pPr>
      <w:r>
        <w:t>УЧРЕЖДЕНИЯМИ, ДЛЯ РЕАЛИЗАЦИИ СОЦИАЛЬНЫХ ПРОЕКТОВ,</w:t>
      </w:r>
    </w:p>
    <w:p w:rsidR="00F27856" w:rsidRDefault="00F27856">
      <w:pPr>
        <w:pStyle w:val="ConsPlusTitle"/>
        <w:jc w:val="center"/>
      </w:pPr>
      <w:r>
        <w:t>НАПРАВЛЕННЫХ НА УЛУЧШЕНИЕ КАЧЕСТВА ЖИЗНИ ПОЖИЛЫХ ЛЮДЕЙ,</w:t>
      </w:r>
    </w:p>
    <w:p w:rsidR="00F27856" w:rsidRDefault="00F27856">
      <w:pPr>
        <w:pStyle w:val="ConsPlusTitle"/>
        <w:jc w:val="center"/>
      </w:pPr>
      <w:r>
        <w:t>СОЦИАЛЬНУЮ РЕАБИЛИТАЦИЮ ЛИЦ, НАХОДЯЩИХСЯ</w:t>
      </w:r>
    </w:p>
    <w:p w:rsidR="00F27856" w:rsidRDefault="00F27856">
      <w:pPr>
        <w:pStyle w:val="ConsPlusTitle"/>
        <w:jc w:val="center"/>
      </w:pPr>
      <w:r>
        <w:t>В ТРУДНОЙ ЖИЗНЕННОЙ СИТУАЦИИ</w:t>
      </w:r>
    </w:p>
    <w:p w:rsidR="00F27856" w:rsidRDefault="00F278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7856">
        <w:trPr>
          <w:jc w:val="center"/>
        </w:trPr>
        <w:tc>
          <w:tcPr>
            <w:tcW w:w="9294" w:type="dxa"/>
            <w:tcBorders>
              <w:top w:val="nil"/>
              <w:left w:val="single" w:sz="24" w:space="0" w:color="CED3F1"/>
              <w:bottom w:val="nil"/>
              <w:right w:val="single" w:sz="24" w:space="0" w:color="F4F3F8"/>
            </w:tcBorders>
            <w:shd w:val="clear" w:color="auto" w:fill="F4F3F8"/>
          </w:tcPr>
          <w:p w:rsidR="00F27856" w:rsidRDefault="00F27856">
            <w:pPr>
              <w:pStyle w:val="ConsPlusNormal"/>
              <w:jc w:val="center"/>
            </w:pPr>
            <w:r>
              <w:rPr>
                <w:color w:val="392C69"/>
              </w:rPr>
              <w:t>Список изменяющих документов</w:t>
            </w:r>
          </w:p>
          <w:p w:rsidR="00F27856" w:rsidRDefault="00F27856">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Коллегии Администрации Кемеровской области</w:t>
            </w:r>
            <w:proofErr w:type="gramEnd"/>
          </w:p>
          <w:p w:rsidR="00F27856" w:rsidRDefault="00F27856">
            <w:pPr>
              <w:pStyle w:val="ConsPlusNormal"/>
              <w:jc w:val="center"/>
            </w:pPr>
            <w:r>
              <w:rPr>
                <w:color w:val="392C69"/>
              </w:rPr>
              <w:t>от 01.02.2019 N 50)</w:t>
            </w:r>
          </w:p>
        </w:tc>
      </w:tr>
    </w:tbl>
    <w:p w:rsidR="00F27856" w:rsidRDefault="00F27856">
      <w:pPr>
        <w:pStyle w:val="ConsPlusNormal"/>
        <w:jc w:val="both"/>
      </w:pPr>
    </w:p>
    <w:p w:rsidR="00F27856" w:rsidRDefault="00F27856">
      <w:pPr>
        <w:pStyle w:val="ConsPlusNormal"/>
        <w:ind w:firstLine="540"/>
        <w:jc w:val="both"/>
      </w:pPr>
      <w:proofErr w:type="gramStart"/>
      <w:r>
        <w:t xml:space="preserve">В соответствии со </w:t>
      </w:r>
      <w:hyperlink r:id="rId6" w:history="1">
        <w:r>
          <w:rPr>
            <w:color w:val="0000FF"/>
          </w:rPr>
          <w:t>статьей 78.1</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8" w:history="1">
        <w:r>
          <w:rPr>
            <w:color w:val="0000FF"/>
          </w:rPr>
          <w:t>Законом</w:t>
        </w:r>
      </w:hyperlink>
      <w:r>
        <w:t xml:space="preserve"> Кемеровской области от 14.12.2018 N 107-ОЗ "Об областном бюджете на 2019 год и на плановый период 2020 и 2021 годов" Коллегия Администрации</w:t>
      </w:r>
      <w:proofErr w:type="gramEnd"/>
      <w:r>
        <w:t xml:space="preserve"> Кемеровской области постановляет:</w:t>
      </w:r>
    </w:p>
    <w:p w:rsidR="00F27856" w:rsidRDefault="00F27856">
      <w:pPr>
        <w:pStyle w:val="ConsPlusNormal"/>
        <w:jc w:val="both"/>
      </w:pPr>
      <w:r>
        <w:t xml:space="preserve">(в ред. </w:t>
      </w:r>
      <w:hyperlink r:id="rId9" w:history="1">
        <w:r>
          <w:rPr>
            <w:color w:val="0000FF"/>
          </w:rPr>
          <w:t>постановления</w:t>
        </w:r>
      </w:hyperlink>
      <w:r>
        <w:t xml:space="preserve"> Коллегии Администрации Кемеровской области от 01.02.2019 N 50)</w:t>
      </w:r>
    </w:p>
    <w:p w:rsidR="00F27856" w:rsidRDefault="00F27856">
      <w:pPr>
        <w:pStyle w:val="ConsPlusNormal"/>
        <w:jc w:val="both"/>
      </w:pPr>
    </w:p>
    <w:p w:rsidR="00F27856" w:rsidRDefault="00F27856">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F27856" w:rsidRDefault="00F27856">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F27856" w:rsidRDefault="00F2785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(по вопросам социального развития) Е.И.Малышеву.</w:t>
      </w:r>
    </w:p>
    <w:p w:rsidR="00F27856" w:rsidRDefault="00F27856">
      <w:pPr>
        <w:pStyle w:val="ConsPlusNormal"/>
        <w:jc w:val="both"/>
      </w:pPr>
    </w:p>
    <w:p w:rsidR="00F27856" w:rsidRDefault="00F27856">
      <w:pPr>
        <w:pStyle w:val="ConsPlusNormal"/>
        <w:jc w:val="right"/>
      </w:pPr>
      <w:r>
        <w:t>И.о. Губернатора</w:t>
      </w:r>
    </w:p>
    <w:p w:rsidR="00F27856" w:rsidRDefault="00F27856">
      <w:pPr>
        <w:pStyle w:val="ConsPlusNormal"/>
        <w:jc w:val="right"/>
      </w:pPr>
      <w:r>
        <w:t>Кемеровской области</w:t>
      </w:r>
    </w:p>
    <w:p w:rsidR="00F27856" w:rsidRDefault="00F27856">
      <w:pPr>
        <w:pStyle w:val="ConsPlusNormal"/>
        <w:jc w:val="right"/>
      </w:pPr>
      <w:r>
        <w:t>В.Н.ТЕЛЕГИН</w:t>
      </w: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right"/>
        <w:outlineLvl w:val="0"/>
      </w:pPr>
      <w:r>
        <w:t>Утвержден</w:t>
      </w:r>
    </w:p>
    <w:p w:rsidR="00F27856" w:rsidRDefault="00F27856">
      <w:pPr>
        <w:pStyle w:val="ConsPlusNormal"/>
        <w:jc w:val="right"/>
      </w:pPr>
      <w:r>
        <w:t>постановлением</w:t>
      </w:r>
    </w:p>
    <w:p w:rsidR="00F27856" w:rsidRDefault="00F27856">
      <w:pPr>
        <w:pStyle w:val="ConsPlusNormal"/>
        <w:jc w:val="right"/>
      </w:pPr>
      <w:r>
        <w:t>Коллегии Администрации</w:t>
      </w:r>
    </w:p>
    <w:p w:rsidR="00F27856" w:rsidRDefault="00F27856">
      <w:pPr>
        <w:pStyle w:val="ConsPlusNormal"/>
        <w:jc w:val="right"/>
      </w:pPr>
      <w:r>
        <w:t>Кемеровской области</w:t>
      </w:r>
    </w:p>
    <w:p w:rsidR="00F27856" w:rsidRDefault="00F27856">
      <w:pPr>
        <w:pStyle w:val="ConsPlusNormal"/>
        <w:jc w:val="right"/>
      </w:pPr>
      <w:r>
        <w:t>от 27 ноября 2018 г. N 515</w:t>
      </w:r>
    </w:p>
    <w:p w:rsidR="00F27856" w:rsidRDefault="00F27856">
      <w:pPr>
        <w:pStyle w:val="ConsPlusNormal"/>
        <w:jc w:val="both"/>
      </w:pPr>
    </w:p>
    <w:p w:rsidR="00F27856" w:rsidRDefault="00F27856">
      <w:pPr>
        <w:pStyle w:val="ConsPlusTitle"/>
        <w:jc w:val="center"/>
      </w:pPr>
      <w:bookmarkStart w:id="0" w:name="P37"/>
      <w:bookmarkEnd w:id="0"/>
      <w:r>
        <w:lastRenderedPageBreak/>
        <w:t>ПОРЯДОК</w:t>
      </w:r>
    </w:p>
    <w:p w:rsidR="00F27856" w:rsidRDefault="00F27856">
      <w:pPr>
        <w:pStyle w:val="ConsPlusTitle"/>
        <w:jc w:val="center"/>
      </w:pPr>
      <w:r>
        <w:t>ПРЕДОСТАВЛЕНИЯ СУБСИДИИ НЕКОММЕРЧЕСКИМ ОРГАНИЗАЦИЯМ,</w:t>
      </w:r>
    </w:p>
    <w:p w:rsidR="00F27856" w:rsidRDefault="00F27856">
      <w:pPr>
        <w:pStyle w:val="ConsPlusTitle"/>
        <w:jc w:val="center"/>
      </w:pPr>
      <w:proofErr w:type="gramStart"/>
      <w:r>
        <w:t>НЕ ЯВЛЯЮЩИМСЯ ГОСУДАРСТВЕННЫМИ УЧРЕЖДЕНИЯМИ, ДЛЯ РЕАЛИЗАЦИИ</w:t>
      </w:r>
      <w:proofErr w:type="gramEnd"/>
    </w:p>
    <w:p w:rsidR="00F27856" w:rsidRDefault="00F27856">
      <w:pPr>
        <w:pStyle w:val="ConsPlusTitle"/>
        <w:jc w:val="center"/>
      </w:pPr>
      <w:r>
        <w:t>СОЦИАЛЬНЫХ ПРОЕКТОВ, НАПРАВЛЕННЫХ НА УЛУЧШЕНИЕ КАЧЕСТВА</w:t>
      </w:r>
    </w:p>
    <w:p w:rsidR="00F27856" w:rsidRDefault="00F27856">
      <w:pPr>
        <w:pStyle w:val="ConsPlusTitle"/>
        <w:jc w:val="center"/>
      </w:pPr>
      <w:r>
        <w:t>ЖИЗНИ ПОЖИЛЫХ ЛЮДЕЙ, СОЦИАЛЬНУЮ РЕАБИЛИТАЦИЮ ЛИЦ,</w:t>
      </w:r>
    </w:p>
    <w:p w:rsidR="00F27856" w:rsidRDefault="00F27856">
      <w:pPr>
        <w:pStyle w:val="ConsPlusTitle"/>
        <w:jc w:val="center"/>
      </w:pPr>
      <w:proofErr w:type="gramStart"/>
      <w:r>
        <w:t>НАХОДЯЩИХСЯ</w:t>
      </w:r>
      <w:proofErr w:type="gramEnd"/>
      <w:r>
        <w:t xml:space="preserve"> В ТРУДНОЙ ЖИЗНЕННОЙ СИТУАЦИИ</w:t>
      </w:r>
    </w:p>
    <w:p w:rsidR="00F27856" w:rsidRDefault="00F27856">
      <w:pPr>
        <w:pStyle w:val="ConsPlusNormal"/>
        <w:jc w:val="both"/>
      </w:pPr>
    </w:p>
    <w:p w:rsidR="00F27856" w:rsidRDefault="00F27856">
      <w:pPr>
        <w:pStyle w:val="ConsPlusTitle"/>
        <w:jc w:val="center"/>
        <w:outlineLvl w:val="1"/>
      </w:pPr>
      <w:r>
        <w:t>1. Общие положения</w:t>
      </w:r>
    </w:p>
    <w:p w:rsidR="00F27856" w:rsidRDefault="00F27856">
      <w:pPr>
        <w:pStyle w:val="ConsPlusNormal"/>
        <w:jc w:val="both"/>
      </w:pPr>
    </w:p>
    <w:p w:rsidR="00F27856" w:rsidRDefault="00F27856">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субсидии из областного бюджета в рамках государственной </w:t>
      </w:r>
      <w:hyperlink r:id="rId10" w:history="1">
        <w:r>
          <w:rPr>
            <w:color w:val="0000FF"/>
          </w:rPr>
          <w:t>программы</w:t>
        </w:r>
      </w:hyperlink>
      <w:r>
        <w:t xml:space="preserve"> Кемеровской области "Социальная поддержка населения Кузбасса" на 2014 - 2021 годы, утвержденной постановлением Коллегии Администрации Кемеровской области от 25.10.2013 N 468,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w:t>
      </w:r>
      <w:proofErr w:type="gramEnd"/>
      <w:r>
        <w:t xml:space="preserve"> ситуации (далее - субсидия).</w:t>
      </w:r>
    </w:p>
    <w:p w:rsidR="00F27856" w:rsidRDefault="00F27856">
      <w:pPr>
        <w:pStyle w:val="ConsPlusNormal"/>
        <w:spacing w:before="220"/>
        <w:ind w:firstLine="540"/>
        <w:jc w:val="both"/>
      </w:pPr>
      <w:r>
        <w:t>1.2. Для целей настоящего Порядка используются следующие понятия:</w:t>
      </w:r>
    </w:p>
    <w:p w:rsidR="00F27856" w:rsidRDefault="00F27856">
      <w:pPr>
        <w:pStyle w:val="ConsPlusNormal"/>
        <w:spacing w:before="220"/>
        <w:ind w:firstLine="540"/>
        <w:jc w:val="both"/>
      </w:pPr>
      <w:r>
        <w:t>получатели субсидии - некоммерческие организации Кемеровской области, не являющиеся государственными учреждениями, с которыми заключено соглашение о предоставлении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соглашение);</w:t>
      </w:r>
    </w:p>
    <w:p w:rsidR="00F27856" w:rsidRDefault="00F27856">
      <w:pPr>
        <w:pStyle w:val="ConsPlusNormal"/>
        <w:spacing w:before="220"/>
        <w:ind w:firstLine="540"/>
        <w:jc w:val="both"/>
      </w:pPr>
      <w:r>
        <w:t xml:space="preserve">претенденты на получение субсидии (далее - претенденты) - некоммерческие организации, не являющиеся государственными учреждениями, представившие документы, указанные в </w:t>
      </w:r>
      <w:hyperlink w:anchor="P71" w:history="1">
        <w:r>
          <w:rPr>
            <w:color w:val="0000FF"/>
          </w:rPr>
          <w:t>пункте 2.4</w:t>
        </w:r>
      </w:hyperlink>
      <w:r>
        <w:t xml:space="preserve"> настоящего Порядка, в Кемеровскую региональную общественную организацию "Ресурсный центр поддержки общественных инициатив" (по согласованию) (далее - организатор конкурса);</w:t>
      </w:r>
    </w:p>
    <w:p w:rsidR="00F27856" w:rsidRDefault="00F27856">
      <w:pPr>
        <w:pStyle w:val="ConsPlusNormal"/>
        <w:spacing w:before="220"/>
        <w:ind w:firstLine="540"/>
        <w:jc w:val="both"/>
      </w:pPr>
      <w:r>
        <w:t>трудная жизненная ситуация - ситуация, объективно нарушающая жизнедеятельность гражданина (отсутствие определенного места жительства и рода занятий, освобождение из мест лишения свободы, наличие социально опасных заболеваний, неспособность к самообслуживанию, малообеспеченность, безработица и иные обстоятельства, объективно нарушающие жизнедеятельность), которую он не может преодолеть самостоятельно.</w:t>
      </w:r>
    </w:p>
    <w:p w:rsidR="00F27856" w:rsidRDefault="00F27856">
      <w:pPr>
        <w:pStyle w:val="ConsPlusNormal"/>
        <w:spacing w:before="220"/>
        <w:ind w:firstLine="540"/>
        <w:jc w:val="both"/>
      </w:pPr>
      <w:bookmarkStart w:id="1" w:name="P51"/>
      <w:bookmarkEnd w:id="1"/>
      <w:r>
        <w:t>1.3. Целью предоставления субсидии является поддержка инновационных форм работы, технологий, моделей и методик по следующим направлениям (далее - тематическая направленность):</w:t>
      </w:r>
    </w:p>
    <w:p w:rsidR="00F27856" w:rsidRDefault="00F27856">
      <w:pPr>
        <w:pStyle w:val="ConsPlusNormal"/>
        <w:spacing w:before="220"/>
        <w:ind w:firstLine="540"/>
        <w:jc w:val="both"/>
      </w:pPr>
      <w:r>
        <w:t>улучшение качества жизни пожилых людей путем проведения мероприятий по поддержке жизненной активности и здорового образа жизни, предоставления новых видов социальных услуг, внедрения стационарозамещающих технологий;</w:t>
      </w:r>
    </w:p>
    <w:p w:rsidR="00F27856" w:rsidRDefault="00F27856">
      <w:pPr>
        <w:pStyle w:val="ConsPlusNormal"/>
        <w:spacing w:before="220"/>
        <w:ind w:firstLine="540"/>
        <w:jc w:val="both"/>
      </w:pPr>
      <w:r>
        <w:t>создание условий для успешной социальной реабилитации лиц, находящихся в трудной жизненной ситуации, путем предоставления новых видов социальных услуг, организации комплексного социального сопровождения, содействия физическому, интеллектуальному, психическому, духовному и нравственному развитию, формированию активной жизненной позиции в ликвидации трудной жизненной ситуации, восстановлении социального статуса лица.</w:t>
      </w:r>
    </w:p>
    <w:p w:rsidR="00F27856" w:rsidRDefault="00F27856">
      <w:pPr>
        <w:pStyle w:val="ConsPlusNormal"/>
        <w:spacing w:before="220"/>
        <w:ind w:firstLine="540"/>
        <w:jc w:val="both"/>
      </w:pPr>
      <w:r>
        <w:t>1.4. Департаменту социальной защиты населения Кемеровской области в соответствии с законом Кемеровской области об областном бюджете как получателю бюджетных средств доводятся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w:t>
      </w:r>
    </w:p>
    <w:p w:rsidR="00F27856" w:rsidRDefault="00F27856">
      <w:pPr>
        <w:pStyle w:val="ConsPlusNormal"/>
        <w:spacing w:before="220"/>
        <w:ind w:firstLine="540"/>
        <w:jc w:val="both"/>
      </w:pPr>
      <w:r>
        <w:lastRenderedPageBreak/>
        <w:t>1.5. Отбор претендентов проводится путем проведения конкурса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также - конкурсный отбор). Организационно-техническое обеспечение конкурсного отбора осуществляет организатор конкурса.</w:t>
      </w:r>
    </w:p>
    <w:p w:rsidR="00F27856" w:rsidRDefault="00F27856">
      <w:pPr>
        <w:pStyle w:val="ConsPlusNormal"/>
        <w:spacing w:before="220"/>
        <w:ind w:firstLine="540"/>
        <w:jc w:val="both"/>
      </w:pPr>
      <w:r>
        <w:t>1.6. Порядок проведения конкурсного отбора:</w:t>
      </w:r>
    </w:p>
    <w:p w:rsidR="00F27856" w:rsidRDefault="00F27856">
      <w:pPr>
        <w:pStyle w:val="ConsPlusNormal"/>
        <w:spacing w:before="220"/>
        <w:ind w:firstLine="540"/>
        <w:jc w:val="both"/>
      </w:pPr>
      <w:r>
        <w:t>1.6.1. Главный распорядитель приказом департамента социальной защиты населения Кемеровской области по согласованию с организатором конкурса принимает решение о проведении конкурсного отбора претендентов на получение субсидии, утверждении состава конкурсной комиссии для его проведения.</w:t>
      </w:r>
    </w:p>
    <w:p w:rsidR="00F27856" w:rsidRDefault="00F27856">
      <w:pPr>
        <w:pStyle w:val="ConsPlusNormal"/>
        <w:spacing w:before="220"/>
        <w:ind w:firstLine="540"/>
        <w:jc w:val="both"/>
      </w:pPr>
      <w:r>
        <w:t xml:space="preserve">1.6.2. Главный распорядитель и организатор конкурса размещают на своих официальных сайтах в информационно-телекоммуникационной сети "Интернет" извещение о проведении конкурсного отбора претендентов на получение субсидии (далее - извещение) не </w:t>
      </w:r>
      <w:proofErr w:type="gramStart"/>
      <w:r>
        <w:t>позднее</w:t>
      </w:r>
      <w:proofErr w:type="gramEnd"/>
      <w:r>
        <w:t xml:space="preserve"> чем за 7 рабочих дней до даты начала подачи документов, указанных в </w:t>
      </w:r>
      <w:hyperlink w:anchor="P71" w:history="1">
        <w:r>
          <w:rPr>
            <w:color w:val="0000FF"/>
          </w:rPr>
          <w:t>пункте 2.4</w:t>
        </w:r>
      </w:hyperlink>
      <w:r>
        <w:t xml:space="preserve"> настоящего Порядка.</w:t>
      </w:r>
    </w:p>
    <w:p w:rsidR="00F27856" w:rsidRDefault="00F27856">
      <w:pPr>
        <w:pStyle w:val="ConsPlusNormal"/>
        <w:spacing w:before="220"/>
        <w:ind w:firstLine="540"/>
        <w:jc w:val="both"/>
      </w:pPr>
      <w:r>
        <w:t>Извещение содержит следующую информацию: приказ департамента социальной защиты населения Кемеровской области, на основании которого проводится конкурсный отбор претендентов на получение субсидии и утверждение состава конкурсной комиссии для его проведения; перечень документов, необходимых для предоставления субсидии; даты начала и окончания подачи указанных документов, а также адрес их подачи, контактный телефон.</w:t>
      </w:r>
    </w:p>
    <w:p w:rsidR="00F27856" w:rsidRDefault="00F27856">
      <w:pPr>
        <w:pStyle w:val="ConsPlusNormal"/>
        <w:spacing w:before="220"/>
        <w:ind w:firstLine="540"/>
        <w:jc w:val="both"/>
      </w:pPr>
      <w:r>
        <w:t xml:space="preserve">Срок подачи документов, необходимых для предоставления субсидии, составляет 15 дней </w:t>
      </w:r>
      <w:proofErr w:type="gramStart"/>
      <w:r>
        <w:t>с даты начала</w:t>
      </w:r>
      <w:proofErr w:type="gramEnd"/>
      <w:r>
        <w:t xml:space="preserve"> их подачи, указанной в извещении.</w:t>
      </w:r>
    </w:p>
    <w:p w:rsidR="00F27856" w:rsidRDefault="00F27856">
      <w:pPr>
        <w:pStyle w:val="ConsPlusNormal"/>
        <w:spacing w:before="220"/>
        <w:ind w:firstLine="540"/>
        <w:jc w:val="both"/>
      </w:pPr>
      <w:bookmarkStart w:id="2" w:name="P61"/>
      <w:bookmarkEnd w:id="2"/>
      <w:r>
        <w:t>1.7. Критерием участия в конкурсном отборе претендентов является наличие государственной регистрации и осуществление претендентом деятельности по предоставлению социальных услуг на территории Кемеровской области не менее 6 месяцев.</w:t>
      </w:r>
    </w:p>
    <w:p w:rsidR="00F27856" w:rsidRDefault="00F27856">
      <w:pPr>
        <w:pStyle w:val="ConsPlusNormal"/>
        <w:jc w:val="both"/>
      </w:pPr>
    </w:p>
    <w:p w:rsidR="00F27856" w:rsidRDefault="00F27856">
      <w:pPr>
        <w:pStyle w:val="ConsPlusTitle"/>
        <w:jc w:val="center"/>
        <w:outlineLvl w:val="1"/>
      </w:pPr>
      <w:r>
        <w:t>2. Условия и порядок предоставления субсидии</w:t>
      </w:r>
    </w:p>
    <w:p w:rsidR="00F27856" w:rsidRDefault="00F27856">
      <w:pPr>
        <w:pStyle w:val="ConsPlusNormal"/>
        <w:jc w:val="both"/>
      </w:pPr>
    </w:p>
    <w:p w:rsidR="00F27856" w:rsidRDefault="00F27856">
      <w:pPr>
        <w:pStyle w:val="ConsPlusNormal"/>
        <w:ind w:firstLine="540"/>
        <w:jc w:val="both"/>
      </w:pPr>
      <w:r>
        <w:t>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rsidR="00F27856" w:rsidRDefault="00F27856">
      <w:pPr>
        <w:pStyle w:val="ConsPlusNormal"/>
        <w:spacing w:before="220"/>
        <w:ind w:firstLine="540"/>
        <w:jc w:val="both"/>
      </w:pPr>
      <w:r>
        <w:t>2.2. Субсидия предоставляется на основании соглашения, заключенного между главным распорядителем и получателем субсидии. Типовая форма соглашения устанавливается главным финансовым управлением Кемеровской области.</w:t>
      </w:r>
    </w:p>
    <w:p w:rsidR="00F27856" w:rsidRDefault="00F27856">
      <w:pPr>
        <w:pStyle w:val="ConsPlusNormal"/>
        <w:spacing w:before="220"/>
        <w:ind w:firstLine="540"/>
        <w:jc w:val="both"/>
      </w:pPr>
      <w:proofErr w:type="gramStart"/>
      <w:r>
        <w:t>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субсидии, указанных в настоящем Порядке,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w:t>
      </w:r>
      <w:proofErr w:type="gramEnd"/>
      <w:r>
        <w:t xml:space="preserve">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F27856" w:rsidRDefault="00F27856">
      <w:pPr>
        <w:pStyle w:val="ConsPlusNormal"/>
        <w:spacing w:before="220"/>
        <w:ind w:firstLine="540"/>
        <w:jc w:val="both"/>
      </w:pPr>
      <w:bookmarkStart w:id="3" w:name="P68"/>
      <w:bookmarkEnd w:id="3"/>
      <w:r>
        <w:t>2.3. Претенденты на 1-е число месяца, предшествующего месяцу, в котором планируется заключение соглашения, должны соответствовать следующим требованиям:</w:t>
      </w:r>
    </w:p>
    <w:p w:rsidR="00F27856" w:rsidRDefault="00F27856">
      <w:pPr>
        <w:pStyle w:val="ConsPlusNormal"/>
        <w:spacing w:before="220"/>
        <w:ind w:firstLine="540"/>
        <w:jc w:val="both"/>
      </w:pPr>
      <w:r>
        <w:t xml:space="preserve">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w:t>
      </w:r>
      <w:r>
        <w:lastRenderedPageBreak/>
        <w:t>и иной просроченной задолженности перед областным бюджетом;</w:t>
      </w:r>
    </w:p>
    <w:p w:rsidR="00F27856" w:rsidRDefault="00F27856">
      <w:pPr>
        <w:pStyle w:val="ConsPlusNormal"/>
        <w:spacing w:before="220"/>
        <w:ind w:firstLine="540"/>
        <w:jc w:val="both"/>
      </w:pPr>
      <w:r>
        <w:t>не находиться в процессе реорганизации, ликвидации, банкротства.</w:t>
      </w:r>
    </w:p>
    <w:p w:rsidR="00F27856" w:rsidRDefault="00F27856">
      <w:pPr>
        <w:pStyle w:val="ConsPlusNormal"/>
        <w:spacing w:before="220"/>
        <w:ind w:firstLine="540"/>
        <w:jc w:val="both"/>
      </w:pPr>
      <w:bookmarkStart w:id="4" w:name="P71"/>
      <w:bookmarkEnd w:id="4"/>
      <w:r>
        <w:t>2.4. Претендент представляет организатору конкурса:</w:t>
      </w:r>
    </w:p>
    <w:p w:rsidR="00F27856" w:rsidRDefault="00F27856">
      <w:pPr>
        <w:pStyle w:val="ConsPlusNormal"/>
        <w:spacing w:before="220"/>
        <w:ind w:firstLine="540"/>
        <w:jc w:val="both"/>
      </w:pPr>
      <w:r>
        <w:t xml:space="preserve">один проект по одной тематической направленности, состоящий из </w:t>
      </w:r>
      <w:hyperlink w:anchor="P151" w:history="1">
        <w:r>
          <w:rPr>
            <w:color w:val="0000FF"/>
          </w:rPr>
          <w:t>описи</w:t>
        </w:r>
      </w:hyperlink>
      <w:r>
        <w:t xml:space="preserve"> документов по форме согласно приложению N 1 к настоящему Порядку, </w:t>
      </w:r>
      <w:hyperlink w:anchor="P209" w:history="1">
        <w:r>
          <w:rPr>
            <w:color w:val="0000FF"/>
          </w:rPr>
          <w:t>паспорта</w:t>
        </w:r>
      </w:hyperlink>
      <w:r>
        <w:t xml:space="preserve"> проекта по форме согласно приложению N 2 к настоящему Порядку (далее - проект);</w:t>
      </w:r>
    </w:p>
    <w:p w:rsidR="00F27856" w:rsidRDefault="00F27856">
      <w:pPr>
        <w:pStyle w:val="ConsPlusNormal"/>
        <w:spacing w:before="220"/>
        <w:ind w:firstLine="540"/>
        <w:jc w:val="both"/>
      </w:pPr>
      <w:proofErr w:type="gramStart"/>
      <w:r>
        <w:t>документы,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не менее 6 месяцев (выписка из Единого государственного реестра юридических лиц, выданная Федеральной налоговой службой и заверенная печатью указанной службы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w:t>
      </w:r>
      <w:proofErr w:type="gramEnd"/>
      <w:r>
        <w:t xml:space="preserve"> </w:t>
      </w:r>
      <w:proofErr w:type="gramStart"/>
      <w:r>
        <w:t>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roofErr w:type="gramEnd"/>
    </w:p>
    <w:p w:rsidR="00F27856" w:rsidRDefault="00F27856">
      <w:pPr>
        <w:pStyle w:val="ConsPlusNormal"/>
        <w:spacing w:before="220"/>
        <w:ind w:firstLine="540"/>
        <w:jc w:val="both"/>
      </w:pPr>
      <w:r>
        <w:t xml:space="preserve">гарантийное письмо в произвольной форме, подписанное и заверенное руководителем претендента, содержащее сведения об отсутствии у претендента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а также об отсутствии в отношении претендента процесса реорганизации, ликвидации, банкротства. Указанные сведения должны соответствовать официальным данным на первое число месяца, предшествующего месяцу, в котором планируется заключение соглашения;</w:t>
      </w:r>
    </w:p>
    <w:p w:rsidR="00F27856" w:rsidRDefault="00F27856">
      <w:pPr>
        <w:pStyle w:val="ConsPlusNormal"/>
        <w:spacing w:before="220"/>
        <w:ind w:firstLine="540"/>
        <w:jc w:val="both"/>
      </w:pPr>
      <w:r>
        <w:t>копии учредительных документов претендента, заверенные руководителем претендента;</w:t>
      </w:r>
    </w:p>
    <w:p w:rsidR="00F27856" w:rsidRDefault="00F27856">
      <w:pPr>
        <w:pStyle w:val="ConsPlusNormal"/>
        <w:spacing w:before="220"/>
        <w:ind w:firstLine="540"/>
        <w:jc w:val="both"/>
      </w:pPr>
      <w:r>
        <w:t>копию действующей лицензии, заверенную руководителем претендента (для видов деятельности в рамках проекта, подлежащих лицензированию);</w:t>
      </w:r>
    </w:p>
    <w:p w:rsidR="00F27856" w:rsidRDefault="00F27856">
      <w:pPr>
        <w:pStyle w:val="ConsPlusNormal"/>
        <w:spacing w:before="220"/>
        <w:ind w:firstLine="540"/>
        <w:jc w:val="both"/>
      </w:pPr>
      <w:r>
        <w:t>копию документа, подтверждающего полномочия руководителя или иного лица, уполномоченного подписывать соглашение, заверенную руководителем претендента;</w:t>
      </w:r>
    </w:p>
    <w:p w:rsidR="00F27856" w:rsidRDefault="00F27856">
      <w:pPr>
        <w:pStyle w:val="ConsPlusNormal"/>
        <w:spacing w:before="220"/>
        <w:ind w:firstLine="540"/>
        <w:jc w:val="both"/>
      </w:pPr>
      <w:r>
        <w:t>письма руководителей организаций-соисполнителей, подтверждающие участие указанных организаций в проекте (при наличии организаций-соисполнителей).</w:t>
      </w:r>
    </w:p>
    <w:p w:rsidR="00F27856" w:rsidRDefault="00F27856">
      <w:pPr>
        <w:pStyle w:val="ConsPlusNormal"/>
        <w:spacing w:before="220"/>
        <w:ind w:firstLine="540"/>
        <w:jc w:val="both"/>
      </w:pPr>
      <w:r>
        <w:t>Претендент представляет указанные в настоящем пункте документы лично либо посредством почтовой связи на бумажном носителе в одном экземпляре (листы нумеруются, не брошюруются и не скрепляются) и в форме электронного документа на электронном носителе в течение срока, указанного в извещении. Датой представления указанных документов претендентом считается дата их регистрации в журнале регистрации входящих документов организатора конкурса.</w:t>
      </w:r>
    </w:p>
    <w:p w:rsidR="00F27856" w:rsidRDefault="00F27856">
      <w:pPr>
        <w:pStyle w:val="ConsPlusNormal"/>
        <w:spacing w:before="220"/>
        <w:ind w:firstLine="540"/>
        <w:jc w:val="both"/>
      </w:pPr>
      <w:r>
        <w:t xml:space="preserve">2.5. В день представления претендентом документов, указанных в </w:t>
      </w:r>
      <w:hyperlink w:anchor="P71" w:history="1">
        <w:r>
          <w:rPr>
            <w:color w:val="0000FF"/>
          </w:rPr>
          <w:t>пункте 2.4</w:t>
        </w:r>
      </w:hyperlink>
      <w:r>
        <w:t xml:space="preserve"> настоящего Порядка, организатор конкурса регистрирует их в журнале регистрации входящих документов и передает в конкурсную комиссию для рассмотрения.</w:t>
      </w:r>
    </w:p>
    <w:p w:rsidR="00F27856" w:rsidRDefault="00F27856">
      <w:pPr>
        <w:pStyle w:val="ConsPlusNormal"/>
        <w:spacing w:before="220"/>
        <w:ind w:firstLine="540"/>
        <w:jc w:val="both"/>
      </w:pPr>
      <w:r>
        <w:t>Документы, представленные организатору конкурса, не возвращаются и не рецензируются. Расходы, связанные с подготовкой, направлением проекта и участием в конкурсе, несет претендент.</w:t>
      </w:r>
    </w:p>
    <w:p w:rsidR="00F27856" w:rsidRDefault="00F27856">
      <w:pPr>
        <w:pStyle w:val="ConsPlusNormal"/>
        <w:spacing w:before="220"/>
        <w:ind w:firstLine="540"/>
        <w:jc w:val="both"/>
      </w:pPr>
      <w:r>
        <w:t>2.6. Конкурсная комиссия:</w:t>
      </w:r>
    </w:p>
    <w:p w:rsidR="00F27856" w:rsidRDefault="00F27856">
      <w:pPr>
        <w:pStyle w:val="ConsPlusNormal"/>
        <w:spacing w:before="220"/>
        <w:ind w:firstLine="540"/>
        <w:jc w:val="both"/>
      </w:pPr>
      <w:r>
        <w:t>2.6.1. Рассматривает представленные документы.</w:t>
      </w:r>
    </w:p>
    <w:p w:rsidR="00F27856" w:rsidRDefault="00F27856">
      <w:pPr>
        <w:pStyle w:val="ConsPlusNormal"/>
        <w:spacing w:before="220"/>
        <w:ind w:firstLine="540"/>
        <w:jc w:val="both"/>
      </w:pPr>
      <w:r>
        <w:lastRenderedPageBreak/>
        <w:t xml:space="preserve">2.6.2. Проводит оценку представленного претендентом </w:t>
      </w:r>
      <w:proofErr w:type="gramStart"/>
      <w:r>
        <w:t>проекта</w:t>
      </w:r>
      <w:proofErr w:type="gramEnd"/>
      <w:r>
        <w:t xml:space="preserve"> на соответствие следующим критериям:</w:t>
      </w:r>
    </w:p>
    <w:p w:rsidR="00F27856" w:rsidRDefault="00F27856">
      <w:pPr>
        <w:pStyle w:val="ConsPlusNormal"/>
        <w:spacing w:before="220"/>
        <w:ind w:firstLine="540"/>
        <w:jc w:val="both"/>
      </w:pPr>
      <w:r>
        <w:t>решение проблем качества жизни пожилых людей, социальной реабилитации лиц, находящихся в трудной жизненной ситуации;</w:t>
      </w:r>
    </w:p>
    <w:p w:rsidR="00F27856" w:rsidRDefault="00F27856">
      <w:pPr>
        <w:pStyle w:val="ConsPlusNormal"/>
        <w:spacing w:before="220"/>
        <w:ind w:firstLine="540"/>
        <w:jc w:val="both"/>
      </w:pPr>
      <w:r>
        <w:t>соответствие деятельности, планируемой к осуществлению в рамках проекта, уставной деятельности претендента;</w:t>
      </w:r>
    </w:p>
    <w:p w:rsidR="00F27856" w:rsidRDefault="00F27856">
      <w:pPr>
        <w:pStyle w:val="ConsPlusNormal"/>
        <w:spacing w:before="220"/>
        <w:ind w:firstLine="540"/>
        <w:jc w:val="both"/>
      </w:pPr>
      <w:r>
        <w:t>возможность достижения ожидаемых результатов в сроки, установленные для реализации проекта;</w:t>
      </w:r>
    </w:p>
    <w:p w:rsidR="00F27856" w:rsidRDefault="00F27856">
      <w:pPr>
        <w:pStyle w:val="ConsPlusNormal"/>
        <w:spacing w:before="220"/>
        <w:ind w:firstLine="540"/>
        <w:jc w:val="both"/>
      </w:pPr>
      <w:r>
        <w:t>экономическая обоснованность проекта;</w:t>
      </w:r>
    </w:p>
    <w:p w:rsidR="00F27856" w:rsidRDefault="00F27856">
      <w:pPr>
        <w:pStyle w:val="ConsPlusNormal"/>
        <w:spacing w:before="220"/>
        <w:ind w:firstLine="540"/>
        <w:jc w:val="both"/>
      </w:pPr>
      <w:r>
        <w:t>наличие у претендента достаточных для реализации проекта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кадровых и иных ресурсов;</w:t>
      </w:r>
    </w:p>
    <w:p w:rsidR="00F27856" w:rsidRDefault="00F27856">
      <w:pPr>
        <w:pStyle w:val="ConsPlusNormal"/>
        <w:spacing w:before="220"/>
        <w:ind w:firstLine="540"/>
        <w:jc w:val="both"/>
      </w:pPr>
      <w:r>
        <w:t>использование результативных, в том числе инновационных технологий, моделей и методик для достижения целей и задач проекта;</w:t>
      </w:r>
    </w:p>
    <w:p w:rsidR="00F27856" w:rsidRDefault="00F27856">
      <w:pPr>
        <w:pStyle w:val="ConsPlusNormal"/>
        <w:spacing w:before="220"/>
        <w:ind w:firstLine="540"/>
        <w:jc w:val="both"/>
      </w:pPr>
      <w:r>
        <w:t>устойчивость проекта к возможным рискам, которые могут привести к невозможности его реализации;</w:t>
      </w:r>
    </w:p>
    <w:p w:rsidR="00F27856" w:rsidRDefault="00F27856">
      <w:pPr>
        <w:pStyle w:val="ConsPlusNormal"/>
        <w:spacing w:before="220"/>
        <w:ind w:firstLine="540"/>
        <w:jc w:val="both"/>
      </w:pPr>
      <w:r>
        <w:t>наличие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F27856" w:rsidRDefault="00F27856">
      <w:pPr>
        <w:pStyle w:val="ConsPlusNormal"/>
        <w:spacing w:before="220"/>
        <w:ind w:firstLine="540"/>
        <w:jc w:val="both"/>
      </w:pPr>
      <w:r>
        <w:t xml:space="preserve">2.6.3. </w:t>
      </w:r>
      <w:proofErr w:type="gramStart"/>
      <w:r>
        <w:t xml:space="preserve">Не позднее 10 рабочих дней после окончания срока подачи документов, указанных в </w:t>
      </w:r>
      <w:hyperlink w:anchor="P71" w:history="1">
        <w:r>
          <w:rPr>
            <w:color w:val="0000FF"/>
          </w:rPr>
          <w:t>пункте 2.4</w:t>
        </w:r>
      </w:hyperlink>
      <w:r>
        <w:t xml:space="preserve"> настоящего Порядка, большинством голосов членов конкурсной комиссии определяет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включающий список</w:t>
      </w:r>
      <w:proofErr w:type="gramEnd"/>
      <w:r>
        <w:t xml:space="preserve"> победителей конкурсного отбора (далее - протокол итогов конкурсного отбора). Протокол итогов конкурсного отбора подписывается всеми членами конкурсной комиссии.</w:t>
      </w:r>
    </w:p>
    <w:p w:rsidR="00F27856" w:rsidRDefault="00F27856">
      <w:pPr>
        <w:pStyle w:val="ConsPlusNormal"/>
        <w:spacing w:before="220"/>
        <w:ind w:firstLine="540"/>
        <w:jc w:val="both"/>
      </w:pPr>
      <w:r>
        <w:t>В случае отсутствия претендентов на участие в конкурсном отборе либо отсутствия 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оформляет протокол.</w:t>
      </w:r>
    </w:p>
    <w:p w:rsidR="00F27856" w:rsidRDefault="00F27856">
      <w:pPr>
        <w:pStyle w:val="ConsPlusNormal"/>
        <w:spacing w:before="220"/>
        <w:ind w:firstLine="540"/>
        <w:jc w:val="both"/>
      </w:pPr>
      <w:r>
        <w:t>Конкурсный отбор подлежит повторному проведению по истечении 15 рабочих дней со дня признания конкурсного отбора несостоявшимся либо несостоявшимся по одной тематической направленности в порядке и сроки, предусмотренные настоящим Порядком.</w:t>
      </w:r>
    </w:p>
    <w:p w:rsidR="00F27856" w:rsidRDefault="00F27856">
      <w:pPr>
        <w:pStyle w:val="ConsPlusNormal"/>
        <w:spacing w:before="220"/>
        <w:ind w:firstLine="540"/>
        <w:jc w:val="both"/>
      </w:pPr>
      <w:r>
        <w:t xml:space="preserve">2.6.4. Передает протокол итогов конкурсного отбора организатору конкурса не позднее 1 рабочего дня </w:t>
      </w:r>
      <w:proofErr w:type="gramStart"/>
      <w:r>
        <w:t>с даты</w:t>
      </w:r>
      <w:proofErr w:type="gramEnd"/>
      <w:r>
        <w:t xml:space="preserve"> его подписания.</w:t>
      </w:r>
    </w:p>
    <w:p w:rsidR="00F27856" w:rsidRDefault="00F27856">
      <w:pPr>
        <w:pStyle w:val="ConsPlusNormal"/>
        <w:spacing w:before="220"/>
        <w:ind w:firstLine="540"/>
        <w:jc w:val="both"/>
      </w:pPr>
      <w:r>
        <w:t>2.7. Организатор конкурса в течение 5 рабочих дней со дня определения конкурсной комиссией победителей конкурсного отбора информирует посредством направления уведомления почтовым отправлением с уведомлением о вручении, по телефонам, адресам электронной почты:</w:t>
      </w:r>
    </w:p>
    <w:p w:rsidR="00F27856" w:rsidRDefault="00F27856">
      <w:pPr>
        <w:pStyle w:val="ConsPlusNormal"/>
        <w:spacing w:before="220"/>
        <w:ind w:firstLine="540"/>
        <w:jc w:val="both"/>
      </w:pPr>
      <w:r>
        <w:t>главного распорядителя - о победителях конкурсного отбора из числа претендентов;</w:t>
      </w:r>
    </w:p>
    <w:p w:rsidR="00F27856" w:rsidRDefault="00F27856">
      <w:pPr>
        <w:pStyle w:val="ConsPlusNormal"/>
        <w:spacing w:before="220"/>
        <w:ind w:firstLine="540"/>
        <w:jc w:val="both"/>
      </w:pPr>
      <w:r>
        <w:lastRenderedPageBreak/>
        <w:t xml:space="preserve">победителей конкурсного отбора из числа претендентов - о необходимости в течение 5 рабочих дней </w:t>
      </w:r>
      <w:proofErr w:type="gramStart"/>
      <w:r>
        <w:t>с даты получения</w:t>
      </w:r>
      <w:proofErr w:type="gramEnd"/>
      <w:r>
        <w:t xml:space="preserve"> претендентом указанного уведомления явиться в департамент социальной защиты населения Кемеровской области для подписания соглашения.</w:t>
      </w:r>
    </w:p>
    <w:p w:rsidR="00F27856" w:rsidRDefault="00F27856">
      <w:pPr>
        <w:pStyle w:val="ConsPlusNormal"/>
        <w:spacing w:before="220"/>
        <w:ind w:firstLine="540"/>
        <w:jc w:val="both"/>
      </w:pPr>
      <w:r>
        <w:t>2.8. Основаниями для отказа в предоставлении субсидии являются:</w:t>
      </w:r>
    </w:p>
    <w:p w:rsidR="00F27856" w:rsidRDefault="00F27856">
      <w:pPr>
        <w:pStyle w:val="ConsPlusNormal"/>
        <w:spacing w:before="220"/>
        <w:ind w:firstLine="540"/>
        <w:jc w:val="both"/>
      </w:pPr>
      <w:r>
        <w:t xml:space="preserve">2.8.1. Несоответствие представленных претендентом документов требованиям, определенным </w:t>
      </w:r>
      <w:hyperlink w:anchor="P71"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F27856" w:rsidRDefault="00F27856">
      <w:pPr>
        <w:pStyle w:val="ConsPlusNormal"/>
        <w:spacing w:before="220"/>
        <w:ind w:firstLine="540"/>
        <w:jc w:val="both"/>
      </w:pPr>
      <w:r>
        <w:t>2.8.2. Недостоверность представленной претендентом информации.</w:t>
      </w:r>
    </w:p>
    <w:p w:rsidR="00F27856" w:rsidRDefault="00F27856">
      <w:pPr>
        <w:pStyle w:val="ConsPlusNormal"/>
        <w:spacing w:before="220"/>
        <w:ind w:firstLine="540"/>
        <w:jc w:val="both"/>
      </w:pPr>
      <w:r>
        <w:t>2.8.3. Представление претендентом документов после окончания срока их подачи, указанного в извещении.</w:t>
      </w:r>
    </w:p>
    <w:p w:rsidR="00F27856" w:rsidRDefault="00F27856">
      <w:pPr>
        <w:pStyle w:val="ConsPlusNormal"/>
        <w:spacing w:before="220"/>
        <w:ind w:firstLine="540"/>
        <w:jc w:val="both"/>
      </w:pPr>
      <w:r>
        <w:t xml:space="preserve">2.8.4. Несоответствие проекта претендента одной из тематических направленностей, указанных в </w:t>
      </w:r>
      <w:hyperlink w:anchor="P51" w:history="1">
        <w:r>
          <w:rPr>
            <w:color w:val="0000FF"/>
          </w:rPr>
          <w:t>пункте 1.3</w:t>
        </w:r>
      </w:hyperlink>
      <w:r>
        <w:t xml:space="preserve"> настоящего Порядка.</w:t>
      </w:r>
    </w:p>
    <w:p w:rsidR="00F27856" w:rsidRDefault="00F27856">
      <w:pPr>
        <w:pStyle w:val="ConsPlusNormal"/>
        <w:spacing w:before="220"/>
        <w:ind w:firstLine="540"/>
        <w:jc w:val="both"/>
      </w:pPr>
      <w:r>
        <w:t>2.8.5. Подача претендентом нескольких проектов по одной тематической направленности.</w:t>
      </w:r>
    </w:p>
    <w:p w:rsidR="00F27856" w:rsidRDefault="00F27856">
      <w:pPr>
        <w:pStyle w:val="ConsPlusNormal"/>
        <w:spacing w:before="220"/>
        <w:ind w:firstLine="540"/>
        <w:jc w:val="both"/>
      </w:pPr>
      <w:r>
        <w:t xml:space="preserve">2.8.6. Несоответствие претендента критерию участия в конкурсном отборе претендентов, указанному в </w:t>
      </w:r>
      <w:hyperlink w:anchor="P61" w:history="1">
        <w:r>
          <w:rPr>
            <w:color w:val="0000FF"/>
          </w:rPr>
          <w:t>пункте 1.7</w:t>
        </w:r>
      </w:hyperlink>
      <w:r>
        <w:t xml:space="preserve"> настоящего Порядка.</w:t>
      </w:r>
    </w:p>
    <w:p w:rsidR="00F27856" w:rsidRDefault="00F27856">
      <w:pPr>
        <w:pStyle w:val="ConsPlusNormal"/>
        <w:spacing w:before="220"/>
        <w:ind w:firstLine="540"/>
        <w:jc w:val="both"/>
      </w:pPr>
      <w:r>
        <w:t xml:space="preserve">2.8.7. Несоответствие претендента требованиям, указанным в </w:t>
      </w:r>
      <w:hyperlink w:anchor="P68" w:history="1">
        <w:r>
          <w:rPr>
            <w:color w:val="0000FF"/>
          </w:rPr>
          <w:t>пункте 2.3</w:t>
        </w:r>
      </w:hyperlink>
      <w:r>
        <w:t xml:space="preserve"> настоящего Порядка.</w:t>
      </w:r>
    </w:p>
    <w:p w:rsidR="00F27856" w:rsidRDefault="00F27856">
      <w:pPr>
        <w:pStyle w:val="ConsPlusNormal"/>
        <w:spacing w:before="220"/>
        <w:ind w:firstLine="540"/>
        <w:jc w:val="both"/>
      </w:pPr>
      <w:r>
        <w:t>2.9. Субсидия может быть использована получателем только на осуществление целевых расходов, связанных с реализацией проекта, в том числе расходов:</w:t>
      </w:r>
    </w:p>
    <w:p w:rsidR="00F27856" w:rsidRDefault="00F27856">
      <w:pPr>
        <w:pStyle w:val="ConsPlusNormal"/>
        <w:spacing w:before="220"/>
        <w:ind w:firstLine="540"/>
        <w:jc w:val="both"/>
      </w:pPr>
      <w:r>
        <w:t>на затраты по оплате труда, в том числе начисления на выплаты по оплате труда специалистов получателя субсидии;</w:t>
      </w:r>
    </w:p>
    <w:p w:rsidR="00F27856" w:rsidRDefault="00F27856">
      <w:pPr>
        <w:pStyle w:val="ConsPlusNormal"/>
        <w:spacing w:before="220"/>
        <w:ind w:firstLine="540"/>
        <w:jc w:val="both"/>
      </w:pPr>
      <w:r>
        <w:t>на приобретение товаров, работ, услуг в целях реализации мероприятий проекта;</w:t>
      </w:r>
    </w:p>
    <w:p w:rsidR="00F27856" w:rsidRDefault="00F27856">
      <w:pPr>
        <w:pStyle w:val="ConsPlusNormal"/>
        <w:spacing w:before="220"/>
        <w:ind w:firstLine="540"/>
        <w:jc w:val="both"/>
      </w:pPr>
      <w:r>
        <w:t>на проведение обучающих семинаров, конференций и повышение квалификации специалистов получателя субсидии;</w:t>
      </w:r>
    </w:p>
    <w:p w:rsidR="00F27856" w:rsidRDefault="00F27856">
      <w:pPr>
        <w:pStyle w:val="ConsPlusNormal"/>
        <w:spacing w:before="220"/>
        <w:ind w:firstLine="540"/>
        <w:jc w:val="both"/>
      </w:pPr>
      <w:r>
        <w:t>на уплату налогов, сборов, страховых взносов и иных обязательных платежей в бюджетную систему Российской Федерации;</w:t>
      </w:r>
    </w:p>
    <w:p w:rsidR="00F27856" w:rsidRDefault="00F27856">
      <w:pPr>
        <w:pStyle w:val="ConsPlusNormal"/>
        <w:spacing w:before="220"/>
        <w:ind w:firstLine="540"/>
        <w:jc w:val="both"/>
      </w:pPr>
      <w:r>
        <w:t>на оплату расходов по коммунальным услугам, услугам связи, связанных с реализацией проекта.</w:t>
      </w:r>
    </w:p>
    <w:p w:rsidR="00F27856" w:rsidRDefault="00F27856">
      <w:pPr>
        <w:pStyle w:val="ConsPlusNormal"/>
        <w:spacing w:before="220"/>
        <w:ind w:firstLine="540"/>
        <w:jc w:val="both"/>
      </w:pPr>
      <w:r>
        <w:t>2.10. Объем субсидий определяется пропорционально количеству претендентов, прошедших конкурс.</w:t>
      </w:r>
    </w:p>
    <w:p w:rsidR="00F27856" w:rsidRDefault="00F27856">
      <w:pPr>
        <w:pStyle w:val="ConsPlusNormal"/>
        <w:spacing w:before="220"/>
        <w:ind w:firstLine="540"/>
        <w:jc w:val="both"/>
      </w:pPr>
      <w:r>
        <w:t xml:space="preserve">2.11. Главный распорядитель заключает с претендентом соглашение и в течение 5 рабочих дней </w:t>
      </w:r>
      <w:proofErr w:type="gramStart"/>
      <w:r>
        <w:t>с даты заключения</w:t>
      </w:r>
      <w:proofErr w:type="gramEnd"/>
      <w:r>
        <w:t xml:space="preserve"> соглашения представляет в главное финансовое управление Кемеровской области заявку на финансирование субсидии.</w:t>
      </w:r>
    </w:p>
    <w:p w:rsidR="00F27856" w:rsidRDefault="00F27856">
      <w:pPr>
        <w:pStyle w:val="ConsPlusNormal"/>
        <w:spacing w:before="220"/>
        <w:ind w:firstLine="540"/>
        <w:jc w:val="both"/>
      </w:pPr>
      <w:r>
        <w:t>Главное финансовое управление Кемеровской области на основании представленной заявки осуществляет перечисление денежных средств на лицевой счет главного распорядителя.</w:t>
      </w:r>
    </w:p>
    <w:p w:rsidR="00F27856" w:rsidRDefault="00F27856">
      <w:pPr>
        <w:pStyle w:val="ConsPlusNormal"/>
        <w:spacing w:before="220"/>
        <w:ind w:firstLine="540"/>
        <w:jc w:val="both"/>
      </w:pPr>
      <w:r>
        <w:t>Главный распорядитель перечисляет средства субсидии на расчетный счет получателя не позднее 5 рабочих дней со дня поступления средств на лицевой счет главного распорядителя.</w:t>
      </w:r>
    </w:p>
    <w:p w:rsidR="00F27856" w:rsidRDefault="00F27856">
      <w:pPr>
        <w:pStyle w:val="ConsPlusNormal"/>
        <w:spacing w:before="220"/>
        <w:ind w:firstLine="540"/>
        <w:jc w:val="both"/>
      </w:pPr>
      <w:r>
        <w:t xml:space="preserve">2.12. Неиспользованный на 1 января текущего финансового года остаток субсидии, </w:t>
      </w:r>
      <w:r>
        <w:lastRenderedPageBreak/>
        <w:t>предоставленной в истекшем финансовом году получателю, используется им в текущем финансовом году на цели, предусмотренные проектом.</w:t>
      </w:r>
    </w:p>
    <w:p w:rsidR="00F27856" w:rsidRDefault="00F27856">
      <w:pPr>
        <w:pStyle w:val="ConsPlusNormal"/>
        <w:spacing w:before="220"/>
        <w:ind w:firstLine="540"/>
        <w:jc w:val="both"/>
      </w:pPr>
      <w:r>
        <w:t>2.13. Субсидии, предоставленные в соответствии с настоящим Порядком, не могут быть использованы получателями субсидии на иные цели, не предусмотренные проектом.</w:t>
      </w:r>
    </w:p>
    <w:p w:rsidR="00F27856" w:rsidRDefault="00F27856">
      <w:pPr>
        <w:pStyle w:val="ConsPlusNormal"/>
        <w:jc w:val="both"/>
      </w:pPr>
    </w:p>
    <w:p w:rsidR="00F27856" w:rsidRDefault="00F27856">
      <w:pPr>
        <w:pStyle w:val="ConsPlusTitle"/>
        <w:jc w:val="center"/>
        <w:outlineLvl w:val="1"/>
      </w:pPr>
      <w:r>
        <w:t>3. Требования к отчетности</w:t>
      </w:r>
    </w:p>
    <w:p w:rsidR="00F27856" w:rsidRDefault="00F27856">
      <w:pPr>
        <w:pStyle w:val="ConsPlusNormal"/>
        <w:jc w:val="both"/>
      </w:pPr>
    </w:p>
    <w:p w:rsidR="00F27856" w:rsidRDefault="00F27856">
      <w:pPr>
        <w:pStyle w:val="ConsPlusNormal"/>
        <w:ind w:firstLine="540"/>
        <w:jc w:val="both"/>
      </w:pPr>
      <w:r>
        <w:t>Получатели субсидии представляют главному распорядителю отчет о получении и использовании субсидии. Сроки и форма представления указанного отчета устанавливаются главным распорядителем в соглашении.</w:t>
      </w:r>
    </w:p>
    <w:p w:rsidR="00F27856" w:rsidRDefault="00F27856">
      <w:pPr>
        <w:pStyle w:val="ConsPlusNormal"/>
        <w:jc w:val="both"/>
      </w:pPr>
    </w:p>
    <w:p w:rsidR="00F27856" w:rsidRDefault="00F27856">
      <w:pPr>
        <w:pStyle w:val="ConsPlusTitle"/>
        <w:jc w:val="center"/>
        <w:outlineLvl w:val="1"/>
      </w:pPr>
      <w:r>
        <w:t>4. Требования об осуществлении контроля</w:t>
      </w:r>
    </w:p>
    <w:p w:rsidR="00F27856" w:rsidRDefault="00F27856">
      <w:pPr>
        <w:pStyle w:val="ConsPlusTitle"/>
        <w:jc w:val="center"/>
      </w:pPr>
      <w:r>
        <w:t>за соблюдением условий, целей и порядка предоставления</w:t>
      </w:r>
    </w:p>
    <w:p w:rsidR="00F27856" w:rsidRDefault="00F27856">
      <w:pPr>
        <w:pStyle w:val="ConsPlusTitle"/>
        <w:jc w:val="center"/>
      </w:pPr>
      <w:r>
        <w:t>субсидии и ответственности за их нарушение</w:t>
      </w:r>
    </w:p>
    <w:p w:rsidR="00F27856" w:rsidRDefault="00F27856">
      <w:pPr>
        <w:pStyle w:val="ConsPlusNormal"/>
        <w:jc w:val="both"/>
      </w:pPr>
    </w:p>
    <w:p w:rsidR="00F27856" w:rsidRDefault="00F27856">
      <w:pPr>
        <w:pStyle w:val="ConsPlusNormal"/>
        <w:ind w:firstLine="540"/>
        <w:jc w:val="both"/>
      </w:pPr>
      <w:r>
        <w:t>4.1. Главный распорядитель и орган государственного финансового контроля осуществляют обязательную проверку соблюдения условий, целей и порядка предоставления субсидии получателями субсидии, а также проверяют наличие согласия получателей субсидии на осуществление таких проверок.</w:t>
      </w:r>
    </w:p>
    <w:p w:rsidR="00F27856" w:rsidRDefault="00F27856">
      <w:pPr>
        <w:pStyle w:val="ConsPlusNormal"/>
        <w:spacing w:before="220"/>
        <w:ind w:firstLine="540"/>
        <w:jc w:val="both"/>
      </w:pPr>
      <w:r>
        <w:t>4.2. Получатели субсидии несут ответственность в соответствии с действующим законодательством за нарушение условий, целей и порядка предоставления субсидии, установленных настоящим Порядком.</w:t>
      </w:r>
    </w:p>
    <w:p w:rsidR="00F27856" w:rsidRDefault="00F27856">
      <w:pPr>
        <w:pStyle w:val="ConsPlusNormal"/>
        <w:spacing w:before="220"/>
        <w:ind w:firstLine="540"/>
        <w:jc w:val="both"/>
      </w:pPr>
      <w:r>
        <w:t>4.3. При выявлении главным распорядителем либо органами государственного финансового контроля фактов нарушения получателем субсидии условий, целей и порядка предоставления субсидии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rsidR="00F27856" w:rsidRDefault="00F27856">
      <w:pPr>
        <w:pStyle w:val="ConsPlusNormal"/>
        <w:spacing w:before="220"/>
        <w:ind w:firstLine="540"/>
        <w:jc w:val="both"/>
      </w:pPr>
      <w:r>
        <w:t>Необоснованно полученная субсидия подлежит возврату в областной бюджет в полном размере,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w:t>
      </w:r>
    </w:p>
    <w:p w:rsidR="00F27856" w:rsidRDefault="00F27856">
      <w:pPr>
        <w:pStyle w:val="ConsPlusNormal"/>
        <w:spacing w:before="220"/>
        <w:ind w:firstLine="540"/>
        <w:jc w:val="both"/>
      </w:pPr>
      <w:r>
        <w:t>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right"/>
        <w:outlineLvl w:val="1"/>
      </w:pPr>
      <w:r>
        <w:t>Приложение N 1</w:t>
      </w:r>
    </w:p>
    <w:p w:rsidR="00F27856" w:rsidRDefault="00F27856">
      <w:pPr>
        <w:pStyle w:val="ConsPlusNormal"/>
        <w:jc w:val="right"/>
      </w:pPr>
      <w:r>
        <w:t>к Порядку предоставления</w:t>
      </w:r>
    </w:p>
    <w:p w:rsidR="00F27856" w:rsidRDefault="00F27856">
      <w:pPr>
        <w:pStyle w:val="ConsPlusNormal"/>
        <w:jc w:val="right"/>
      </w:pPr>
      <w:r>
        <w:t xml:space="preserve">субсидии </w:t>
      </w:r>
      <w:proofErr w:type="gramStart"/>
      <w:r>
        <w:t>некоммерческим</w:t>
      </w:r>
      <w:proofErr w:type="gramEnd"/>
    </w:p>
    <w:p w:rsidR="00F27856" w:rsidRDefault="00F27856">
      <w:pPr>
        <w:pStyle w:val="ConsPlusNormal"/>
        <w:jc w:val="right"/>
      </w:pPr>
      <w:r>
        <w:t>организациям, не являющимся</w:t>
      </w:r>
    </w:p>
    <w:p w:rsidR="00F27856" w:rsidRDefault="00F27856">
      <w:pPr>
        <w:pStyle w:val="ConsPlusNormal"/>
        <w:jc w:val="right"/>
      </w:pPr>
      <w:r>
        <w:t>государственными учреждениями,</w:t>
      </w:r>
    </w:p>
    <w:p w:rsidR="00F27856" w:rsidRDefault="00F27856">
      <w:pPr>
        <w:pStyle w:val="ConsPlusNormal"/>
        <w:jc w:val="right"/>
      </w:pPr>
      <w:r>
        <w:t xml:space="preserve">для реализации </w:t>
      </w:r>
      <w:proofErr w:type="gramStart"/>
      <w:r>
        <w:t>социальных</w:t>
      </w:r>
      <w:proofErr w:type="gramEnd"/>
    </w:p>
    <w:p w:rsidR="00F27856" w:rsidRDefault="00F27856">
      <w:pPr>
        <w:pStyle w:val="ConsPlusNormal"/>
        <w:jc w:val="right"/>
      </w:pPr>
      <w:r>
        <w:t>проектов, направленных</w:t>
      </w:r>
    </w:p>
    <w:p w:rsidR="00F27856" w:rsidRDefault="00F27856">
      <w:pPr>
        <w:pStyle w:val="ConsPlusNormal"/>
        <w:jc w:val="right"/>
      </w:pPr>
      <w:r>
        <w:t>на улучшение качества жизни</w:t>
      </w:r>
    </w:p>
    <w:p w:rsidR="00F27856" w:rsidRDefault="00F27856">
      <w:pPr>
        <w:pStyle w:val="ConsPlusNormal"/>
        <w:jc w:val="right"/>
      </w:pPr>
      <w:r>
        <w:t xml:space="preserve">пожилых людей, </w:t>
      </w:r>
      <w:proofErr w:type="gramStart"/>
      <w:r>
        <w:t>социальную</w:t>
      </w:r>
      <w:proofErr w:type="gramEnd"/>
    </w:p>
    <w:p w:rsidR="00F27856" w:rsidRDefault="00F27856">
      <w:pPr>
        <w:pStyle w:val="ConsPlusNormal"/>
        <w:jc w:val="right"/>
      </w:pPr>
      <w:r>
        <w:t>реабилитацию лиц, находящихся</w:t>
      </w:r>
    </w:p>
    <w:p w:rsidR="00F27856" w:rsidRDefault="00F27856">
      <w:pPr>
        <w:pStyle w:val="ConsPlusNormal"/>
        <w:jc w:val="right"/>
      </w:pPr>
      <w:r>
        <w:lastRenderedPageBreak/>
        <w:t>в трудной жизненной ситуации</w:t>
      </w:r>
    </w:p>
    <w:p w:rsidR="00F27856" w:rsidRDefault="00F27856">
      <w:pPr>
        <w:pStyle w:val="ConsPlusNormal"/>
        <w:jc w:val="both"/>
      </w:pPr>
    </w:p>
    <w:p w:rsidR="00F27856" w:rsidRDefault="00F27856">
      <w:pPr>
        <w:pStyle w:val="ConsPlusNormal"/>
        <w:jc w:val="center"/>
      </w:pPr>
      <w:bookmarkStart w:id="5" w:name="P151"/>
      <w:bookmarkEnd w:id="5"/>
      <w:r>
        <w:t>Опись документов</w:t>
      </w:r>
    </w:p>
    <w:p w:rsidR="00F27856" w:rsidRDefault="00F27856">
      <w:pPr>
        <w:pStyle w:val="ConsPlusNormal"/>
        <w:jc w:val="both"/>
      </w:pPr>
    </w:p>
    <w:p w:rsidR="00F27856" w:rsidRDefault="00F27856">
      <w:pPr>
        <w:pStyle w:val="ConsPlusNormal"/>
        <w:jc w:val="center"/>
        <w:outlineLvl w:val="2"/>
      </w:pPr>
      <w:r>
        <w:t>Тематическая направленность проекта</w:t>
      </w:r>
    </w:p>
    <w:p w:rsidR="00F27856" w:rsidRDefault="00F27856">
      <w:pPr>
        <w:pStyle w:val="ConsPlusNormal"/>
        <w:jc w:val="both"/>
      </w:pPr>
    </w:p>
    <w:p w:rsidR="00F27856" w:rsidRDefault="00F27856">
      <w:pPr>
        <w:pStyle w:val="ConsPlusNonformat"/>
        <w:jc w:val="both"/>
      </w:pPr>
      <w:r>
        <w:t>"_________________________________________________________________________"</w:t>
      </w:r>
    </w:p>
    <w:p w:rsidR="00F27856" w:rsidRDefault="00F27856">
      <w:pPr>
        <w:pStyle w:val="ConsPlusNonformat"/>
        <w:jc w:val="both"/>
      </w:pPr>
      <w:r>
        <w:t xml:space="preserve">                                                                        *</w:t>
      </w:r>
    </w:p>
    <w:p w:rsidR="00F27856" w:rsidRDefault="00F2785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9"/>
      </w:tblGrid>
      <w:tr w:rsidR="00F27856">
        <w:tc>
          <w:tcPr>
            <w:tcW w:w="4762" w:type="dxa"/>
            <w:tcBorders>
              <w:top w:val="single" w:sz="4" w:space="0" w:color="auto"/>
              <w:bottom w:val="single" w:sz="4" w:space="0" w:color="auto"/>
            </w:tcBorders>
          </w:tcPr>
          <w:p w:rsidR="00F27856" w:rsidRDefault="00F27856">
            <w:pPr>
              <w:pStyle w:val="ConsPlusNormal"/>
            </w:pPr>
            <w:r>
              <w:t>Номер проекта:</w:t>
            </w:r>
          </w:p>
          <w:p w:rsidR="00F27856" w:rsidRDefault="00F27856">
            <w:pPr>
              <w:pStyle w:val="ConsPlusNormal"/>
            </w:pPr>
            <w:r>
              <w:t>_____________________________</w:t>
            </w:r>
          </w:p>
        </w:tc>
        <w:tc>
          <w:tcPr>
            <w:tcW w:w="4309" w:type="dxa"/>
            <w:tcBorders>
              <w:top w:val="single" w:sz="4" w:space="0" w:color="auto"/>
              <w:bottom w:val="single" w:sz="4" w:space="0" w:color="auto"/>
            </w:tcBorders>
          </w:tcPr>
          <w:p w:rsidR="00F27856" w:rsidRDefault="00F27856">
            <w:pPr>
              <w:pStyle w:val="ConsPlusNormal"/>
            </w:pPr>
            <w:r>
              <w:t>Дата приема проекта:</w:t>
            </w:r>
          </w:p>
          <w:p w:rsidR="00F27856" w:rsidRDefault="00F27856">
            <w:pPr>
              <w:pStyle w:val="ConsPlusNormal"/>
            </w:pPr>
            <w:r>
              <w:t>______________________________</w:t>
            </w:r>
          </w:p>
        </w:tc>
      </w:tr>
    </w:tbl>
    <w:p w:rsidR="00F27856" w:rsidRDefault="00F27856">
      <w:pPr>
        <w:pStyle w:val="ConsPlusNormal"/>
        <w:jc w:val="both"/>
      </w:pPr>
    </w:p>
    <w:p w:rsidR="00F27856" w:rsidRDefault="00F27856">
      <w:pPr>
        <w:pStyle w:val="ConsPlusNormal"/>
        <w:jc w:val="center"/>
        <w:outlineLvl w:val="2"/>
      </w:pPr>
      <w:r>
        <w:t>Перечень документов</w:t>
      </w:r>
    </w:p>
    <w:p w:rsidR="00F27856" w:rsidRDefault="00F27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889"/>
        <w:gridCol w:w="2203"/>
        <w:gridCol w:w="2324"/>
      </w:tblGrid>
      <w:tr w:rsidR="00F27856">
        <w:tc>
          <w:tcPr>
            <w:tcW w:w="566" w:type="dxa"/>
            <w:vMerge w:val="restart"/>
          </w:tcPr>
          <w:p w:rsidR="00F27856" w:rsidRDefault="00F27856">
            <w:pPr>
              <w:pStyle w:val="ConsPlusNormal"/>
              <w:jc w:val="center"/>
            </w:pPr>
            <w:r>
              <w:t>N</w:t>
            </w:r>
          </w:p>
        </w:tc>
        <w:tc>
          <w:tcPr>
            <w:tcW w:w="3889" w:type="dxa"/>
            <w:vMerge w:val="restart"/>
          </w:tcPr>
          <w:p w:rsidR="00F27856" w:rsidRDefault="00F27856">
            <w:pPr>
              <w:pStyle w:val="ConsPlusNormal"/>
              <w:jc w:val="center"/>
            </w:pPr>
            <w:r>
              <w:t>Наименование документов **</w:t>
            </w:r>
          </w:p>
        </w:tc>
        <w:tc>
          <w:tcPr>
            <w:tcW w:w="4527" w:type="dxa"/>
            <w:gridSpan w:val="2"/>
          </w:tcPr>
          <w:p w:rsidR="00F27856" w:rsidRDefault="00F27856">
            <w:pPr>
              <w:pStyle w:val="ConsPlusNormal"/>
              <w:jc w:val="center"/>
            </w:pPr>
            <w:r>
              <w:t>Документы представлены</w:t>
            </w:r>
          </w:p>
        </w:tc>
      </w:tr>
      <w:tr w:rsidR="00F27856">
        <w:tc>
          <w:tcPr>
            <w:tcW w:w="566" w:type="dxa"/>
            <w:vMerge/>
          </w:tcPr>
          <w:p w:rsidR="00F27856" w:rsidRDefault="00F27856"/>
        </w:tc>
        <w:tc>
          <w:tcPr>
            <w:tcW w:w="3889" w:type="dxa"/>
            <w:vMerge/>
          </w:tcPr>
          <w:p w:rsidR="00F27856" w:rsidRDefault="00F27856"/>
        </w:tc>
        <w:tc>
          <w:tcPr>
            <w:tcW w:w="2203" w:type="dxa"/>
          </w:tcPr>
          <w:p w:rsidR="00F27856" w:rsidRDefault="00F27856">
            <w:pPr>
              <w:pStyle w:val="ConsPlusNormal"/>
              <w:jc w:val="center"/>
            </w:pPr>
            <w:r>
              <w:t>количество экземпляров</w:t>
            </w:r>
          </w:p>
        </w:tc>
        <w:tc>
          <w:tcPr>
            <w:tcW w:w="2324" w:type="dxa"/>
          </w:tcPr>
          <w:p w:rsidR="00F27856" w:rsidRDefault="00F27856">
            <w:pPr>
              <w:pStyle w:val="ConsPlusNormal"/>
              <w:jc w:val="center"/>
            </w:pPr>
            <w:r>
              <w:t>количество листов в одном экземпляре</w:t>
            </w:r>
          </w:p>
        </w:tc>
      </w:tr>
      <w:tr w:rsidR="00F27856">
        <w:tc>
          <w:tcPr>
            <w:tcW w:w="566" w:type="dxa"/>
          </w:tcPr>
          <w:p w:rsidR="00F27856" w:rsidRDefault="00F27856">
            <w:pPr>
              <w:pStyle w:val="ConsPlusNormal"/>
              <w:jc w:val="center"/>
            </w:pPr>
            <w:r>
              <w:t>1</w:t>
            </w:r>
          </w:p>
        </w:tc>
        <w:tc>
          <w:tcPr>
            <w:tcW w:w="3889" w:type="dxa"/>
          </w:tcPr>
          <w:p w:rsidR="00F27856" w:rsidRDefault="00F27856">
            <w:pPr>
              <w:pStyle w:val="ConsPlusNormal"/>
            </w:pPr>
          </w:p>
        </w:tc>
        <w:tc>
          <w:tcPr>
            <w:tcW w:w="2203" w:type="dxa"/>
          </w:tcPr>
          <w:p w:rsidR="00F27856" w:rsidRDefault="00F27856">
            <w:pPr>
              <w:pStyle w:val="ConsPlusNormal"/>
            </w:pPr>
          </w:p>
        </w:tc>
        <w:tc>
          <w:tcPr>
            <w:tcW w:w="2324" w:type="dxa"/>
          </w:tcPr>
          <w:p w:rsidR="00F27856" w:rsidRDefault="00F27856">
            <w:pPr>
              <w:pStyle w:val="ConsPlusNormal"/>
            </w:pPr>
          </w:p>
        </w:tc>
      </w:tr>
      <w:tr w:rsidR="00F27856">
        <w:tc>
          <w:tcPr>
            <w:tcW w:w="566" w:type="dxa"/>
          </w:tcPr>
          <w:p w:rsidR="00F27856" w:rsidRDefault="00F27856">
            <w:pPr>
              <w:pStyle w:val="ConsPlusNormal"/>
              <w:jc w:val="center"/>
            </w:pPr>
            <w:r>
              <w:t>2</w:t>
            </w:r>
          </w:p>
        </w:tc>
        <w:tc>
          <w:tcPr>
            <w:tcW w:w="3889" w:type="dxa"/>
          </w:tcPr>
          <w:p w:rsidR="00F27856" w:rsidRDefault="00F27856">
            <w:pPr>
              <w:pStyle w:val="ConsPlusNormal"/>
            </w:pPr>
          </w:p>
        </w:tc>
        <w:tc>
          <w:tcPr>
            <w:tcW w:w="2203" w:type="dxa"/>
          </w:tcPr>
          <w:p w:rsidR="00F27856" w:rsidRDefault="00F27856">
            <w:pPr>
              <w:pStyle w:val="ConsPlusNormal"/>
            </w:pPr>
          </w:p>
        </w:tc>
        <w:tc>
          <w:tcPr>
            <w:tcW w:w="2324" w:type="dxa"/>
          </w:tcPr>
          <w:p w:rsidR="00F27856" w:rsidRDefault="00F27856">
            <w:pPr>
              <w:pStyle w:val="ConsPlusNormal"/>
            </w:pPr>
          </w:p>
        </w:tc>
      </w:tr>
      <w:tr w:rsidR="00F27856">
        <w:tc>
          <w:tcPr>
            <w:tcW w:w="566" w:type="dxa"/>
          </w:tcPr>
          <w:p w:rsidR="00F27856" w:rsidRDefault="00F27856">
            <w:pPr>
              <w:pStyle w:val="ConsPlusNormal"/>
              <w:jc w:val="center"/>
            </w:pPr>
            <w:r>
              <w:t>3</w:t>
            </w:r>
          </w:p>
        </w:tc>
        <w:tc>
          <w:tcPr>
            <w:tcW w:w="3889" w:type="dxa"/>
          </w:tcPr>
          <w:p w:rsidR="00F27856" w:rsidRDefault="00F27856">
            <w:pPr>
              <w:pStyle w:val="ConsPlusNormal"/>
            </w:pPr>
          </w:p>
        </w:tc>
        <w:tc>
          <w:tcPr>
            <w:tcW w:w="2203" w:type="dxa"/>
          </w:tcPr>
          <w:p w:rsidR="00F27856" w:rsidRDefault="00F27856">
            <w:pPr>
              <w:pStyle w:val="ConsPlusNormal"/>
            </w:pPr>
          </w:p>
        </w:tc>
        <w:tc>
          <w:tcPr>
            <w:tcW w:w="2324" w:type="dxa"/>
          </w:tcPr>
          <w:p w:rsidR="00F27856" w:rsidRDefault="00F27856">
            <w:pPr>
              <w:pStyle w:val="ConsPlusNormal"/>
            </w:pPr>
          </w:p>
        </w:tc>
      </w:tr>
    </w:tbl>
    <w:p w:rsidR="00F27856" w:rsidRDefault="00F27856">
      <w:pPr>
        <w:pStyle w:val="ConsPlusNormal"/>
        <w:jc w:val="both"/>
      </w:pPr>
    </w:p>
    <w:p w:rsidR="00F27856" w:rsidRDefault="00F27856">
      <w:pPr>
        <w:pStyle w:val="ConsPlusNonformat"/>
        <w:jc w:val="both"/>
      </w:pPr>
      <w:r>
        <w:t>Руководитель некоммерческой организации ___________________________________</w:t>
      </w:r>
    </w:p>
    <w:p w:rsidR="00F27856" w:rsidRDefault="00F27856">
      <w:pPr>
        <w:pStyle w:val="ConsPlusNonformat"/>
        <w:jc w:val="both"/>
      </w:pPr>
      <w:r>
        <w:t xml:space="preserve">                                                (Ф.И.О., подпись)</w:t>
      </w:r>
    </w:p>
    <w:p w:rsidR="00F27856" w:rsidRDefault="00F27856">
      <w:pPr>
        <w:pStyle w:val="ConsPlusNonformat"/>
        <w:jc w:val="both"/>
      </w:pPr>
    </w:p>
    <w:p w:rsidR="00F27856" w:rsidRDefault="00F27856">
      <w:pPr>
        <w:pStyle w:val="ConsPlusNonformat"/>
        <w:jc w:val="both"/>
      </w:pPr>
      <w:r>
        <w:t>Документы принял __________________ __________________ ____________________</w:t>
      </w:r>
    </w:p>
    <w:p w:rsidR="00F27856" w:rsidRDefault="00F27856">
      <w:pPr>
        <w:pStyle w:val="ConsPlusNonformat"/>
        <w:jc w:val="both"/>
      </w:pPr>
      <w:r>
        <w:t xml:space="preserve">                    (должность)           (Ф.И.О.)            (подпись)</w:t>
      </w:r>
    </w:p>
    <w:p w:rsidR="00F27856" w:rsidRDefault="00F27856">
      <w:pPr>
        <w:pStyle w:val="ConsPlusNormal"/>
        <w:jc w:val="both"/>
      </w:pPr>
    </w:p>
    <w:p w:rsidR="00F27856" w:rsidRDefault="00F27856">
      <w:pPr>
        <w:pStyle w:val="ConsPlusNormal"/>
        <w:ind w:firstLine="540"/>
        <w:jc w:val="both"/>
      </w:pPr>
      <w:r>
        <w:t>--------------------------------</w:t>
      </w:r>
    </w:p>
    <w:p w:rsidR="00F27856" w:rsidRDefault="00F27856">
      <w:pPr>
        <w:pStyle w:val="ConsPlusNormal"/>
        <w:spacing w:before="220"/>
        <w:ind w:firstLine="540"/>
        <w:jc w:val="both"/>
      </w:pPr>
      <w:r>
        <w:t>* Номер и дата, указанные в журнале входящих документов Кемеровской региональной общественной организации "Ресурсный центр поддержки общественных инициатив".</w:t>
      </w:r>
    </w:p>
    <w:p w:rsidR="00F27856" w:rsidRDefault="00F27856">
      <w:pPr>
        <w:pStyle w:val="ConsPlusNormal"/>
        <w:spacing w:before="220"/>
        <w:ind w:firstLine="540"/>
        <w:jc w:val="both"/>
      </w:pPr>
      <w:proofErr w:type="gramStart"/>
      <w:r>
        <w:t xml:space="preserve">** Указать наименование документов, представленных некоммерческой организацией в соответствии с </w:t>
      </w:r>
      <w:hyperlink w:anchor="P71" w:history="1">
        <w:r>
          <w:rPr>
            <w:color w:val="0000FF"/>
          </w:rPr>
          <w:t>пунктом 2.4</w:t>
        </w:r>
      </w:hyperlink>
      <w: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roofErr w:type="gramEnd"/>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both"/>
      </w:pPr>
    </w:p>
    <w:p w:rsidR="00F27856" w:rsidRDefault="00F27856">
      <w:pPr>
        <w:pStyle w:val="ConsPlusNormal"/>
        <w:jc w:val="right"/>
        <w:outlineLvl w:val="1"/>
      </w:pPr>
      <w:r>
        <w:t>Приложение N 2</w:t>
      </w:r>
    </w:p>
    <w:p w:rsidR="00F27856" w:rsidRDefault="00F27856">
      <w:pPr>
        <w:pStyle w:val="ConsPlusNormal"/>
        <w:jc w:val="right"/>
      </w:pPr>
      <w:r>
        <w:t>к Порядку предоставления</w:t>
      </w:r>
    </w:p>
    <w:p w:rsidR="00F27856" w:rsidRDefault="00F27856">
      <w:pPr>
        <w:pStyle w:val="ConsPlusNormal"/>
        <w:jc w:val="right"/>
      </w:pPr>
      <w:r>
        <w:t xml:space="preserve">субсидии </w:t>
      </w:r>
      <w:proofErr w:type="gramStart"/>
      <w:r>
        <w:t>некоммерческим</w:t>
      </w:r>
      <w:proofErr w:type="gramEnd"/>
    </w:p>
    <w:p w:rsidR="00F27856" w:rsidRDefault="00F27856">
      <w:pPr>
        <w:pStyle w:val="ConsPlusNormal"/>
        <w:jc w:val="right"/>
      </w:pPr>
      <w:r>
        <w:t>организациям, не являющимся</w:t>
      </w:r>
    </w:p>
    <w:p w:rsidR="00F27856" w:rsidRDefault="00F27856">
      <w:pPr>
        <w:pStyle w:val="ConsPlusNormal"/>
        <w:jc w:val="right"/>
      </w:pPr>
      <w:r>
        <w:t>государственными учреждениями,</w:t>
      </w:r>
    </w:p>
    <w:p w:rsidR="00F27856" w:rsidRDefault="00F27856">
      <w:pPr>
        <w:pStyle w:val="ConsPlusNormal"/>
        <w:jc w:val="right"/>
      </w:pPr>
      <w:r>
        <w:t xml:space="preserve">для реализации </w:t>
      </w:r>
      <w:proofErr w:type="gramStart"/>
      <w:r>
        <w:t>социальных</w:t>
      </w:r>
      <w:proofErr w:type="gramEnd"/>
    </w:p>
    <w:p w:rsidR="00F27856" w:rsidRDefault="00F27856">
      <w:pPr>
        <w:pStyle w:val="ConsPlusNormal"/>
        <w:jc w:val="right"/>
      </w:pPr>
      <w:r>
        <w:t>проектов, направленных</w:t>
      </w:r>
    </w:p>
    <w:p w:rsidR="00F27856" w:rsidRDefault="00F27856">
      <w:pPr>
        <w:pStyle w:val="ConsPlusNormal"/>
        <w:jc w:val="right"/>
      </w:pPr>
      <w:r>
        <w:t>на улучшение качества жизни</w:t>
      </w:r>
    </w:p>
    <w:p w:rsidR="00F27856" w:rsidRDefault="00F27856">
      <w:pPr>
        <w:pStyle w:val="ConsPlusNormal"/>
        <w:jc w:val="right"/>
      </w:pPr>
      <w:r>
        <w:lastRenderedPageBreak/>
        <w:t xml:space="preserve">пожилых людей, </w:t>
      </w:r>
      <w:proofErr w:type="gramStart"/>
      <w:r>
        <w:t>социальную</w:t>
      </w:r>
      <w:proofErr w:type="gramEnd"/>
    </w:p>
    <w:p w:rsidR="00F27856" w:rsidRDefault="00F27856">
      <w:pPr>
        <w:pStyle w:val="ConsPlusNormal"/>
        <w:jc w:val="right"/>
      </w:pPr>
      <w:r>
        <w:t>реабилитацию лиц, находящихся</w:t>
      </w:r>
    </w:p>
    <w:p w:rsidR="00F27856" w:rsidRDefault="00F27856">
      <w:pPr>
        <w:pStyle w:val="ConsPlusNormal"/>
        <w:jc w:val="right"/>
      </w:pPr>
      <w:r>
        <w:t>в трудной жизненной ситуации</w:t>
      </w:r>
    </w:p>
    <w:p w:rsidR="00F27856" w:rsidRDefault="00F27856">
      <w:pPr>
        <w:pStyle w:val="ConsPlusNormal"/>
        <w:jc w:val="both"/>
      </w:pPr>
    </w:p>
    <w:p w:rsidR="00F27856" w:rsidRDefault="00F27856">
      <w:pPr>
        <w:pStyle w:val="ConsPlusNormal"/>
        <w:jc w:val="center"/>
      </w:pPr>
      <w:bookmarkStart w:id="6" w:name="P209"/>
      <w:bookmarkEnd w:id="6"/>
      <w:r>
        <w:t>Паспорт проекта</w:t>
      </w:r>
    </w:p>
    <w:p w:rsidR="00F27856" w:rsidRDefault="00F27856">
      <w:pPr>
        <w:pStyle w:val="ConsPlusNormal"/>
        <w:jc w:val="both"/>
      </w:pPr>
    </w:p>
    <w:p w:rsidR="00F27856" w:rsidRDefault="00F27856">
      <w:pPr>
        <w:pStyle w:val="ConsPlusNormal"/>
        <w:jc w:val="center"/>
        <w:outlineLvl w:val="2"/>
      </w:pPr>
      <w:r>
        <w:t>1. Общие положения</w:t>
      </w:r>
    </w:p>
    <w:p w:rsidR="00F27856" w:rsidRDefault="00F27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72"/>
      </w:tblGrid>
      <w:tr w:rsidR="00F27856">
        <w:tc>
          <w:tcPr>
            <w:tcW w:w="5499" w:type="dxa"/>
          </w:tcPr>
          <w:p w:rsidR="00F27856" w:rsidRDefault="00F27856">
            <w:pPr>
              <w:pStyle w:val="ConsPlusNormal"/>
            </w:pPr>
            <w:r>
              <w:t>Тематическая направленность проекта</w:t>
            </w:r>
          </w:p>
        </w:tc>
        <w:tc>
          <w:tcPr>
            <w:tcW w:w="3572" w:type="dxa"/>
          </w:tcPr>
          <w:p w:rsidR="00F27856" w:rsidRDefault="00F27856">
            <w:pPr>
              <w:pStyle w:val="ConsPlusNormal"/>
            </w:pPr>
          </w:p>
        </w:tc>
      </w:tr>
      <w:tr w:rsidR="00F27856">
        <w:tc>
          <w:tcPr>
            <w:tcW w:w="5499" w:type="dxa"/>
          </w:tcPr>
          <w:p w:rsidR="00F27856" w:rsidRDefault="00F27856">
            <w:pPr>
              <w:pStyle w:val="ConsPlusNormal"/>
            </w:pPr>
            <w:r>
              <w:t>Наименование проекта</w:t>
            </w:r>
          </w:p>
        </w:tc>
        <w:tc>
          <w:tcPr>
            <w:tcW w:w="3572" w:type="dxa"/>
          </w:tcPr>
          <w:p w:rsidR="00F27856" w:rsidRDefault="00F27856">
            <w:pPr>
              <w:pStyle w:val="ConsPlusNormal"/>
            </w:pPr>
          </w:p>
        </w:tc>
      </w:tr>
      <w:tr w:rsidR="00F27856">
        <w:tc>
          <w:tcPr>
            <w:tcW w:w="5499" w:type="dxa"/>
          </w:tcPr>
          <w:p w:rsidR="00F27856" w:rsidRDefault="00F27856">
            <w:pPr>
              <w:pStyle w:val="ConsPlusNormal"/>
            </w:pPr>
            <w:r>
              <w:t>Полное наименование некоммерческой организации (с указанием организационно-правовой формы)</w:t>
            </w:r>
          </w:p>
        </w:tc>
        <w:tc>
          <w:tcPr>
            <w:tcW w:w="3572" w:type="dxa"/>
          </w:tcPr>
          <w:p w:rsidR="00F27856" w:rsidRDefault="00F27856">
            <w:pPr>
              <w:pStyle w:val="ConsPlusNormal"/>
            </w:pPr>
          </w:p>
        </w:tc>
      </w:tr>
      <w:tr w:rsidR="00F27856">
        <w:tc>
          <w:tcPr>
            <w:tcW w:w="5499" w:type="dxa"/>
          </w:tcPr>
          <w:p w:rsidR="00F27856" w:rsidRDefault="00F27856">
            <w:pPr>
              <w:pStyle w:val="ConsPlusNormal"/>
            </w:pPr>
            <w:r>
              <w:t>Юридический адрес некоммерческой организации (с указанием индекса)</w:t>
            </w:r>
          </w:p>
        </w:tc>
        <w:tc>
          <w:tcPr>
            <w:tcW w:w="3572" w:type="dxa"/>
          </w:tcPr>
          <w:p w:rsidR="00F27856" w:rsidRDefault="00F27856">
            <w:pPr>
              <w:pStyle w:val="ConsPlusNormal"/>
            </w:pPr>
          </w:p>
        </w:tc>
      </w:tr>
      <w:tr w:rsidR="00F27856">
        <w:tc>
          <w:tcPr>
            <w:tcW w:w="5499" w:type="dxa"/>
          </w:tcPr>
          <w:p w:rsidR="00F27856" w:rsidRDefault="00F27856">
            <w:pPr>
              <w:pStyle w:val="ConsPlusNormal"/>
            </w:pPr>
            <w:r>
              <w:t>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3572" w:type="dxa"/>
          </w:tcPr>
          <w:p w:rsidR="00F27856" w:rsidRDefault="00F27856">
            <w:pPr>
              <w:pStyle w:val="ConsPlusNormal"/>
            </w:pPr>
          </w:p>
        </w:tc>
      </w:tr>
      <w:tr w:rsidR="00F27856">
        <w:tc>
          <w:tcPr>
            <w:tcW w:w="5499" w:type="dxa"/>
          </w:tcPr>
          <w:p w:rsidR="00F27856" w:rsidRDefault="00F27856">
            <w:pPr>
              <w:pStyle w:val="ConsPlusNormal"/>
            </w:pPr>
            <w:r>
              <w:t>Руководитель организации: должность, Ф.И.О., телефон, факс, адрес электронной почты</w:t>
            </w:r>
          </w:p>
        </w:tc>
        <w:tc>
          <w:tcPr>
            <w:tcW w:w="3572" w:type="dxa"/>
          </w:tcPr>
          <w:p w:rsidR="00F27856" w:rsidRDefault="00F27856">
            <w:pPr>
              <w:pStyle w:val="ConsPlusNormal"/>
            </w:pPr>
          </w:p>
        </w:tc>
      </w:tr>
      <w:tr w:rsidR="00F27856">
        <w:tc>
          <w:tcPr>
            <w:tcW w:w="5499" w:type="dxa"/>
          </w:tcPr>
          <w:p w:rsidR="00F27856" w:rsidRDefault="00F27856">
            <w:pPr>
              <w:pStyle w:val="ConsPlusNormal"/>
            </w:pPr>
            <w:r>
              <w:t>Руководитель проекта: должность, Ф.И.О., телефон, факс, адрес электронной почты</w:t>
            </w:r>
          </w:p>
        </w:tc>
        <w:tc>
          <w:tcPr>
            <w:tcW w:w="3572" w:type="dxa"/>
          </w:tcPr>
          <w:p w:rsidR="00F27856" w:rsidRDefault="00F27856">
            <w:pPr>
              <w:pStyle w:val="ConsPlusNormal"/>
            </w:pPr>
          </w:p>
        </w:tc>
      </w:tr>
      <w:tr w:rsidR="00F27856">
        <w:tc>
          <w:tcPr>
            <w:tcW w:w="5499" w:type="dxa"/>
          </w:tcPr>
          <w:p w:rsidR="00F27856" w:rsidRDefault="00F27856">
            <w:pPr>
              <w:pStyle w:val="ConsPlusNormal"/>
            </w:pPr>
            <w:r>
              <w:t>Сроки реализации проекта (дата начала и окончания)</w:t>
            </w:r>
          </w:p>
        </w:tc>
        <w:tc>
          <w:tcPr>
            <w:tcW w:w="3572" w:type="dxa"/>
          </w:tcPr>
          <w:p w:rsidR="00F27856" w:rsidRDefault="00F27856">
            <w:pPr>
              <w:pStyle w:val="ConsPlusNormal"/>
            </w:pPr>
          </w:p>
        </w:tc>
      </w:tr>
      <w:tr w:rsidR="00F27856">
        <w:tc>
          <w:tcPr>
            <w:tcW w:w="5499" w:type="dxa"/>
          </w:tcPr>
          <w:p w:rsidR="00F27856" w:rsidRDefault="00F27856">
            <w:pPr>
              <w:pStyle w:val="ConsPlusNormal"/>
            </w:pPr>
            <w:r>
              <w:t>Целевая группа, на которую направлена деятельность по проекту (количественные и качественные показатели)</w:t>
            </w:r>
          </w:p>
        </w:tc>
        <w:tc>
          <w:tcPr>
            <w:tcW w:w="3572" w:type="dxa"/>
          </w:tcPr>
          <w:p w:rsidR="00F27856" w:rsidRDefault="00F27856">
            <w:pPr>
              <w:pStyle w:val="ConsPlusNormal"/>
            </w:pPr>
          </w:p>
        </w:tc>
      </w:tr>
      <w:tr w:rsidR="00F27856">
        <w:tc>
          <w:tcPr>
            <w:tcW w:w="5499" w:type="dxa"/>
          </w:tcPr>
          <w:p w:rsidR="00F27856" w:rsidRDefault="00F27856">
            <w:pPr>
              <w:pStyle w:val="ConsPlusNormal"/>
            </w:pPr>
            <w:r>
              <w:t>Территориальная направленность (указать муниципальны</w:t>
            </w:r>
            <w:proofErr w:type="gramStart"/>
            <w:r>
              <w:t>е(</w:t>
            </w:r>
            <w:proofErr w:type="gramEnd"/>
            <w:r>
              <w:t>ое) образования(ие), в которых(ом) будет реализован проект)</w:t>
            </w:r>
          </w:p>
        </w:tc>
        <w:tc>
          <w:tcPr>
            <w:tcW w:w="3572" w:type="dxa"/>
          </w:tcPr>
          <w:p w:rsidR="00F27856" w:rsidRDefault="00F27856">
            <w:pPr>
              <w:pStyle w:val="ConsPlusNormal"/>
            </w:pPr>
          </w:p>
        </w:tc>
      </w:tr>
      <w:tr w:rsidR="00F27856">
        <w:tc>
          <w:tcPr>
            <w:tcW w:w="5499" w:type="dxa"/>
          </w:tcPr>
          <w:p w:rsidR="00F27856" w:rsidRDefault="00F27856">
            <w:pPr>
              <w:pStyle w:val="ConsPlusNormal"/>
            </w:pPr>
            <w:r>
              <w:t>Объем финансирования проекта (всего, рублей)</w:t>
            </w:r>
          </w:p>
        </w:tc>
        <w:tc>
          <w:tcPr>
            <w:tcW w:w="3572" w:type="dxa"/>
          </w:tcPr>
          <w:p w:rsidR="00F27856" w:rsidRDefault="00F27856">
            <w:pPr>
              <w:pStyle w:val="ConsPlusNormal"/>
            </w:pPr>
          </w:p>
        </w:tc>
      </w:tr>
      <w:tr w:rsidR="00F27856">
        <w:tc>
          <w:tcPr>
            <w:tcW w:w="5499" w:type="dxa"/>
          </w:tcPr>
          <w:p w:rsidR="00F27856" w:rsidRDefault="00F27856">
            <w:pPr>
              <w:pStyle w:val="ConsPlusNormal"/>
            </w:pPr>
            <w:r>
              <w:t>Объем средств субсидии, необходимых на реализацию проекта, из областного бюджета</w:t>
            </w:r>
          </w:p>
        </w:tc>
        <w:tc>
          <w:tcPr>
            <w:tcW w:w="3572" w:type="dxa"/>
          </w:tcPr>
          <w:p w:rsidR="00F27856" w:rsidRDefault="00F27856">
            <w:pPr>
              <w:pStyle w:val="ConsPlusNormal"/>
            </w:pPr>
          </w:p>
        </w:tc>
      </w:tr>
      <w:tr w:rsidR="00F27856">
        <w:tc>
          <w:tcPr>
            <w:tcW w:w="5499" w:type="dxa"/>
          </w:tcPr>
          <w:p w:rsidR="00F27856" w:rsidRDefault="00F27856">
            <w:pPr>
              <w:pStyle w:val="ConsPlusNormal"/>
            </w:pPr>
            <w:r>
              <w:t>Основные разработчики и исполнители проекта</w:t>
            </w:r>
          </w:p>
        </w:tc>
        <w:tc>
          <w:tcPr>
            <w:tcW w:w="3572" w:type="dxa"/>
          </w:tcPr>
          <w:p w:rsidR="00F27856" w:rsidRDefault="00F27856">
            <w:pPr>
              <w:pStyle w:val="ConsPlusNormal"/>
            </w:pPr>
          </w:p>
        </w:tc>
      </w:tr>
      <w:tr w:rsidR="00F27856">
        <w:tc>
          <w:tcPr>
            <w:tcW w:w="5499" w:type="dxa"/>
          </w:tcPr>
          <w:p w:rsidR="00F27856" w:rsidRDefault="00F27856">
            <w:pPr>
              <w:pStyle w:val="ConsPlusNormal"/>
            </w:pPr>
            <w:r>
              <w:t>Ожидаемые конечные результаты реализации проекта *</w:t>
            </w:r>
          </w:p>
        </w:tc>
        <w:tc>
          <w:tcPr>
            <w:tcW w:w="3572" w:type="dxa"/>
          </w:tcPr>
          <w:p w:rsidR="00F27856" w:rsidRDefault="00F27856">
            <w:pPr>
              <w:pStyle w:val="ConsPlusNormal"/>
            </w:pPr>
          </w:p>
        </w:tc>
      </w:tr>
    </w:tbl>
    <w:p w:rsidR="00F27856" w:rsidRDefault="00F27856">
      <w:pPr>
        <w:pStyle w:val="ConsPlusNormal"/>
        <w:jc w:val="both"/>
      </w:pPr>
    </w:p>
    <w:p w:rsidR="00F27856" w:rsidRDefault="00F27856">
      <w:pPr>
        <w:pStyle w:val="ConsPlusNormal"/>
        <w:jc w:val="center"/>
        <w:outlineLvl w:val="2"/>
      </w:pPr>
      <w:r>
        <w:t>2. Описание проекта **</w:t>
      </w:r>
    </w:p>
    <w:p w:rsidR="00F27856" w:rsidRDefault="00F27856">
      <w:pPr>
        <w:pStyle w:val="ConsPlusNormal"/>
        <w:jc w:val="both"/>
      </w:pPr>
    </w:p>
    <w:p w:rsidR="00F27856" w:rsidRDefault="00F27856">
      <w:pPr>
        <w:pStyle w:val="ConsPlusNormal"/>
        <w:ind w:firstLine="540"/>
        <w:jc w:val="both"/>
      </w:pPr>
      <w:r>
        <w:t>I. Содержание проблемы и обоснование необходимости ее решения проектно-целевым методом.</w:t>
      </w:r>
    </w:p>
    <w:p w:rsidR="00F27856" w:rsidRDefault="00F27856">
      <w:pPr>
        <w:pStyle w:val="ConsPlusNormal"/>
        <w:spacing w:before="220"/>
        <w:ind w:firstLine="540"/>
        <w:jc w:val="both"/>
      </w:pPr>
      <w:r>
        <w:t>II. Цель, задачи, сроки реализации проекта.</w:t>
      </w:r>
    </w:p>
    <w:p w:rsidR="00F27856" w:rsidRDefault="00F27856">
      <w:pPr>
        <w:pStyle w:val="ConsPlusNormal"/>
        <w:spacing w:before="220"/>
        <w:ind w:firstLine="540"/>
        <w:jc w:val="both"/>
      </w:pPr>
      <w:r>
        <w:lastRenderedPageBreak/>
        <w:t>III. Система проектных мероприятий и ожидаемые результаты.</w:t>
      </w:r>
    </w:p>
    <w:p w:rsidR="00F27856" w:rsidRDefault="00F27856">
      <w:pPr>
        <w:pStyle w:val="ConsPlusNormal"/>
        <w:spacing w:before="220"/>
        <w:ind w:firstLine="540"/>
        <w:jc w:val="both"/>
      </w:pPr>
      <w:r>
        <w:t xml:space="preserve">IV. Управление проектом и </w:t>
      </w:r>
      <w:proofErr w:type="gramStart"/>
      <w:r>
        <w:t>контроль за</w:t>
      </w:r>
      <w:proofErr w:type="gramEnd"/>
      <w:r>
        <w:t xml:space="preserve"> ходом его реализации.</w:t>
      </w:r>
    </w:p>
    <w:p w:rsidR="00F27856" w:rsidRDefault="00F27856">
      <w:pPr>
        <w:pStyle w:val="ConsPlusNormal"/>
        <w:spacing w:before="220"/>
        <w:ind w:firstLine="540"/>
        <w:jc w:val="both"/>
      </w:pPr>
      <w:r>
        <w:t>V. Ресурсное обеспечение проекта.</w:t>
      </w:r>
    </w:p>
    <w:p w:rsidR="00F27856" w:rsidRDefault="00F27856">
      <w:pPr>
        <w:pStyle w:val="ConsPlusNormal"/>
        <w:spacing w:before="220"/>
        <w:ind w:firstLine="540"/>
        <w:jc w:val="both"/>
      </w:pPr>
      <w:r>
        <w:t>VI. Оценка эффективности и социально-экономических последствий реализации проекта.</w:t>
      </w:r>
    </w:p>
    <w:p w:rsidR="00F27856" w:rsidRDefault="00F27856">
      <w:pPr>
        <w:pStyle w:val="ConsPlusNormal"/>
        <w:jc w:val="both"/>
      </w:pPr>
    </w:p>
    <w:p w:rsidR="00F27856" w:rsidRDefault="00F27856">
      <w:pPr>
        <w:pStyle w:val="ConsPlusNormal"/>
        <w:ind w:firstLine="540"/>
        <w:jc w:val="both"/>
      </w:pPr>
      <w:r>
        <w:t>--------------------------------</w:t>
      </w:r>
    </w:p>
    <w:p w:rsidR="00F27856" w:rsidRDefault="00F27856">
      <w:pPr>
        <w:pStyle w:val="ConsPlusNormal"/>
        <w:spacing w:before="220"/>
        <w:ind w:firstLine="540"/>
        <w:jc w:val="both"/>
      </w:pPr>
      <w:r>
        <w:t>* Указываются количественные и качественные показатели итогов реализации мероприятий проекта.</w:t>
      </w:r>
    </w:p>
    <w:p w:rsidR="00F27856" w:rsidRDefault="00F27856">
      <w:pPr>
        <w:pStyle w:val="ConsPlusNormal"/>
        <w:spacing w:before="220"/>
        <w:ind w:firstLine="540"/>
        <w:jc w:val="both"/>
      </w:pPr>
      <w:r>
        <w:t>** Излагается каждый раздел проекта.</w:t>
      </w:r>
    </w:p>
    <w:p w:rsidR="00F27856" w:rsidRDefault="00F27856">
      <w:pPr>
        <w:pStyle w:val="ConsPlusNormal"/>
        <w:jc w:val="both"/>
      </w:pPr>
    </w:p>
    <w:p w:rsidR="00F27856" w:rsidRDefault="00F27856">
      <w:pPr>
        <w:pStyle w:val="ConsPlusNormal"/>
        <w:jc w:val="center"/>
        <w:outlineLvl w:val="2"/>
      </w:pPr>
      <w:r>
        <w:t>3. Перечень основных мероприятий проекта</w:t>
      </w:r>
    </w:p>
    <w:p w:rsidR="00F27856" w:rsidRDefault="00F27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47"/>
        <w:gridCol w:w="1361"/>
        <w:gridCol w:w="1247"/>
        <w:gridCol w:w="1077"/>
        <w:gridCol w:w="850"/>
        <w:gridCol w:w="1701"/>
        <w:gridCol w:w="1077"/>
      </w:tblGrid>
      <w:tr w:rsidR="00F27856">
        <w:tc>
          <w:tcPr>
            <w:tcW w:w="454" w:type="dxa"/>
            <w:vMerge w:val="restart"/>
          </w:tcPr>
          <w:p w:rsidR="00F27856" w:rsidRDefault="00F27856">
            <w:pPr>
              <w:pStyle w:val="ConsPlusNormal"/>
              <w:jc w:val="center"/>
            </w:pPr>
            <w:r>
              <w:t xml:space="preserve">N </w:t>
            </w:r>
            <w:proofErr w:type="gramStart"/>
            <w:r>
              <w:t>п</w:t>
            </w:r>
            <w:proofErr w:type="gramEnd"/>
            <w:r>
              <w:t>/п</w:t>
            </w:r>
          </w:p>
        </w:tc>
        <w:tc>
          <w:tcPr>
            <w:tcW w:w="1247" w:type="dxa"/>
            <w:vMerge w:val="restart"/>
          </w:tcPr>
          <w:p w:rsidR="00F27856" w:rsidRDefault="00F27856">
            <w:pPr>
              <w:pStyle w:val="ConsPlusNormal"/>
              <w:jc w:val="center"/>
            </w:pPr>
            <w:r>
              <w:t>Наименование мероприятия</w:t>
            </w:r>
          </w:p>
        </w:tc>
        <w:tc>
          <w:tcPr>
            <w:tcW w:w="1361" w:type="dxa"/>
            <w:vMerge w:val="restart"/>
          </w:tcPr>
          <w:p w:rsidR="00F27856" w:rsidRDefault="00F27856">
            <w:pPr>
              <w:pStyle w:val="ConsPlusNormal"/>
              <w:jc w:val="center"/>
            </w:pPr>
            <w:r>
              <w:t>Ожидаемые результаты *</w:t>
            </w:r>
          </w:p>
        </w:tc>
        <w:tc>
          <w:tcPr>
            <w:tcW w:w="1247" w:type="dxa"/>
            <w:vMerge w:val="restart"/>
          </w:tcPr>
          <w:p w:rsidR="00F27856" w:rsidRDefault="00F27856">
            <w:pPr>
              <w:pStyle w:val="ConsPlusNormal"/>
              <w:jc w:val="center"/>
            </w:pPr>
            <w:r>
              <w:t>Исполнител</w:t>
            </w:r>
            <w:proofErr w:type="gramStart"/>
            <w:r>
              <w:t>ь(</w:t>
            </w:r>
            <w:proofErr w:type="gramEnd"/>
            <w:r>
              <w:t>и)</w:t>
            </w:r>
          </w:p>
        </w:tc>
        <w:tc>
          <w:tcPr>
            <w:tcW w:w="1077" w:type="dxa"/>
            <w:vMerge w:val="restart"/>
          </w:tcPr>
          <w:p w:rsidR="00F27856" w:rsidRDefault="00F27856">
            <w:pPr>
              <w:pStyle w:val="ConsPlusNormal"/>
              <w:jc w:val="center"/>
            </w:pPr>
            <w:r>
              <w:t>Сроки реализации</w:t>
            </w:r>
          </w:p>
        </w:tc>
        <w:tc>
          <w:tcPr>
            <w:tcW w:w="3628" w:type="dxa"/>
            <w:gridSpan w:val="3"/>
          </w:tcPr>
          <w:p w:rsidR="00F27856" w:rsidRDefault="00F27856">
            <w:pPr>
              <w:pStyle w:val="ConsPlusNormal"/>
              <w:jc w:val="center"/>
            </w:pPr>
            <w:r>
              <w:t>Объем финансирования (рублей) с указанием источников финансирования</w:t>
            </w:r>
          </w:p>
        </w:tc>
      </w:tr>
      <w:tr w:rsidR="00F27856">
        <w:tc>
          <w:tcPr>
            <w:tcW w:w="454" w:type="dxa"/>
            <w:vMerge/>
          </w:tcPr>
          <w:p w:rsidR="00F27856" w:rsidRDefault="00F27856"/>
        </w:tc>
        <w:tc>
          <w:tcPr>
            <w:tcW w:w="1247" w:type="dxa"/>
            <w:vMerge/>
          </w:tcPr>
          <w:p w:rsidR="00F27856" w:rsidRDefault="00F27856"/>
        </w:tc>
        <w:tc>
          <w:tcPr>
            <w:tcW w:w="1361" w:type="dxa"/>
            <w:vMerge/>
          </w:tcPr>
          <w:p w:rsidR="00F27856" w:rsidRDefault="00F27856"/>
        </w:tc>
        <w:tc>
          <w:tcPr>
            <w:tcW w:w="1247" w:type="dxa"/>
            <w:vMerge/>
          </w:tcPr>
          <w:p w:rsidR="00F27856" w:rsidRDefault="00F27856"/>
        </w:tc>
        <w:tc>
          <w:tcPr>
            <w:tcW w:w="1077" w:type="dxa"/>
            <w:vMerge/>
          </w:tcPr>
          <w:p w:rsidR="00F27856" w:rsidRDefault="00F27856"/>
        </w:tc>
        <w:tc>
          <w:tcPr>
            <w:tcW w:w="850" w:type="dxa"/>
          </w:tcPr>
          <w:p w:rsidR="00F27856" w:rsidRDefault="00F27856">
            <w:pPr>
              <w:pStyle w:val="ConsPlusNormal"/>
              <w:jc w:val="center"/>
            </w:pPr>
            <w:r>
              <w:t>всего</w:t>
            </w:r>
          </w:p>
        </w:tc>
        <w:tc>
          <w:tcPr>
            <w:tcW w:w="1701" w:type="dxa"/>
          </w:tcPr>
          <w:p w:rsidR="00F27856" w:rsidRDefault="00F27856">
            <w:pPr>
              <w:pStyle w:val="ConsPlusNormal"/>
              <w:jc w:val="center"/>
            </w:pPr>
            <w:r>
              <w:t>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1077" w:type="dxa"/>
          </w:tcPr>
          <w:p w:rsidR="00F27856" w:rsidRDefault="00F27856">
            <w:pPr>
              <w:pStyle w:val="ConsPlusNormal"/>
              <w:jc w:val="center"/>
            </w:pPr>
            <w:r>
              <w:t>средства субсидии</w:t>
            </w:r>
          </w:p>
        </w:tc>
      </w:tr>
      <w:tr w:rsidR="00F27856">
        <w:tc>
          <w:tcPr>
            <w:tcW w:w="454" w:type="dxa"/>
          </w:tcPr>
          <w:p w:rsidR="00F27856" w:rsidRDefault="00F27856">
            <w:pPr>
              <w:pStyle w:val="ConsPlusNormal"/>
              <w:jc w:val="center"/>
            </w:pPr>
            <w:r>
              <w:t>1</w:t>
            </w:r>
          </w:p>
        </w:tc>
        <w:tc>
          <w:tcPr>
            <w:tcW w:w="1247" w:type="dxa"/>
          </w:tcPr>
          <w:p w:rsidR="00F27856" w:rsidRDefault="00F27856">
            <w:pPr>
              <w:pStyle w:val="ConsPlusNormal"/>
              <w:jc w:val="center"/>
            </w:pPr>
            <w:r>
              <w:t>2</w:t>
            </w:r>
          </w:p>
        </w:tc>
        <w:tc>
          <w:tcPr>
            <w:tcW w:w="1361" w:type="dxa"/>
          </w:tcPr>
          <w:p w:rsidR="00F27856" w:rsidRDefault="00F27856">
            <w:pPr>
              <w:pStyle w:val="ConsPlusNormal"/>
              <w:jc w:val="center"/>
            </w:pPr>
            <w:r>
              <w:t>3</w:t>
            </w:r>
          </w:p>
        </w:tc>
        <w:tc>
          <w:tcPr>
            <w:tcW w:w="1247" w:type="dxa"/>
          </w:tcPr>
          <w:p w:rsidR="00F27856" w:rsidRDefault="00F27856">
            <w:pPr>
              <w:pStyle w:val="ConsPlusNormal"/>
              <w:jc w:val="center"/>
            </w:pPr>
            <w:r>
              <w:t>4</w:t>
            </w:r>
          </w:p>
        </w:tc>
        <w:tc>
          <w:tcPr>
            <w:tcW w:w="1077" w:type="dxa"/>
          </w:tcPr>
          <w:p w:rsidR="00F27856" w:rsidRDefault="00F27856">
            <w:pPr>
              <w:pStyle w:val="ConsPlusNormal"/>
              <w:jc w:val="center"/>
            </w:pPr>
            <w:r>
              <w:t>5</w:t>
            </w:r>
          </w:p>
        </w:tc>
        <w:tc>
          <w:tcPr>
            <w:tcW w:w="850" w:type="dxa"/>
          </w:tcPr>
          <w:p w:rsidR="00F27856" w:rsidRDefault="00F27856">
            <w:pPr>
              <w:pStyle w:val="ConsPlusNormal"/>
              <w:jc w:val="center"/>
            </w:pPr>
            <w:r>
              <w:t>6</w:t>
            </w:r>
          </w:p>
        </w:tc>
        <w:tc>
          <w:tcPr>
            <w:tcW w:w="1701" w:type="dxa"/>
          </w:tcPr>
          <w:p w:rsidR="00F27856" w:rsidRDefault="00F27856">
            <w:pPr>
              <w:pStyle w:val="ConsPlusNormal"/>
              <w:jc w:val="center"/>
            </w:pPr>
            <w:r>
              <w:t>7</w:t>
            </w:r>
          </w:p>
        </w:tc>
        <w:tc>
          <w:tcPr>
            <w:tcW w:w="1077" w:type="dxa"/>
          </w:tcPr>
          <w:p w:rsidR="00F27856" w:rsidRDefault="00F27856">
            <w:pPr>
              <w:pStyle w:val="ConsPlusNormal"/>
              <w:jc w:val="center"/>
            </w:pPr>
            <w:r>
              <w:t>8</w:t>
            </w:r>
          </w:p>
        </w:tc>
      </w:tr>
      <w:tr w:rsidR="00F27856">
        <w:tc>
          <w:tcPr>
            <w:tcW w:w="454" w:type="dxa"/>
          </w:tcPr>
          <w:p w:rsidR="00F27856" w:rsidRDefault="00F27856">
            <w:pPr>
              <w:pStyle w:val="ConsPlusNormal"/>
            </w:pPr>
          </w:p>
        </w:tc>
        <w:tc>
          <w:tcPr>
            <w:tcW w:w="1247" w:type="dxa"/>
          </w:tcPr>
          <w:p w:rsidR="00F27856" w:rsidRDefault="00F27856">
            <w:pPr>
              <w:pStyle w:val="ConsPlusNormal"/>
            </w:pPr>
          </w:p>
        </w:tc>
        <w:tc>
          <w:tcPr>
            <w:tcW w:w="1361" w:type="dxa"/>
          </w:tcPr>
          <w:p w:rsidR="00F27856" w:rsidRDefault="00F27856">
            <w:pPr>
              <w:pStyle w:val="ConsPlusNormal"/>
            </w:pPr>
          </w:p>
        </w:tc>
        <w:tc>
          <w:tcPr>
            <w:tcW w:w="1247" w:type="dxa"/>
          </w:tcPr>
          <w:p w:rsidR="00F27856" w:rsidRDefault="00F27856">
            <w:pPr>
              <w:pStyle w:val="ConsPlusNormal"/>
            </w:pPr>
          </w:p>
        </w:tc>
        <w:tc>
          <w:tcPr>
            <w:tcW w:w="1077" w:type="dxa"/>
          </w:tcPr>
          <w:p w:rsidR="00F27856" w:rsidRDefault="00F27856">
            <w:pPr>
              <w:pStyle w:val="ConsPlusNormal"/>
            </w:pPr>
          </w:p>
        </w:tc>
        <w:tc>
          <w:tcPr>
            <w:tcW w:w="850" w:type="dxa"/>
          </w:tcPr>
          <w:p w:rsidR="00F27856" w:rsidRDefault="00F27856">
            <w:pPr>
              <w:pStyle w:val="ConsPlusNormal"/>
            </w:pPr>
          </w:p>
        </w:tc>
        <w:tc>
          <w:tcPr>
            <w:tcW w:w="1701" w:type="dxa"/>
          </w:tcPr>
          <w:p w:rsidR="00F27856" w:rsidRDefault="00F27856">
            <w:pPr>
              <w:pStyle w:val="ConsPlusNormal"/>
            </w:pPr>
          </w:p>
        </w:tc>
        <w:tc>
          <w:tcPr>
            <w:tcW w:w="1077" w:type="dxa"/>
          </w:tcPr>
          <w:p w:rsidR="00F27856" w:rsidRDefault="00F27856">
            <w:pPr>
              <w:pStyle w:val="ConsPlusNormal"/>
            </w:pPr>
          </w:p>
        </w:tc>
      </w:tr>
      <w:tr w:rsidR="00F27856">
        <w:tc>
          <w:tcPr>
            <w:tcW w:w="454" w:type="dxa"/>
          </w:tcPr>
          <w:p w:rsidR="00F27856" w:rsidRDefault="00F27856">
            <w:pPr>
              <w:pStyle w:val="ConsPlusNormal"/>
            </w:pPr>
          </w:p>
        </w:tc>
        <w:tc>
          <w:tcPr>
            <w:tcW w:w="1247" w:type="dxa"/>
          </w:tcPr>
          <w:p w:rsidR="00F27856" w:rsidRDefault="00F27856">
            <w:pPr>
              <w:pStyle w:val="ConsPlusNormal"/>
            </w:pPr>
            <w:r>
              <w:t>Итого</w:t>
            </w:r>
          </w:p>
        </w:tc>
        <w:tc>
          <w:tcPr>
            <w:tcW w:w="1361" w:type="dxa"/>
          </w:tcPr>
          <w:p w:rsidR="00F27856" w:rsidRDefault="00F27856">
            <w:pPr>
              <w:pStyle w:val="ConsPlusNormal"/>
            </w:pPr>
          </w:p>
        </w:tc>
        <w:tc>
          <w:tcPr>
            <w:tcW w:w="1247" w:type="dxa"/>
          </w:tcPr>
          <w:p w:rsidR="00F27856" w:rsidRDefault="00F27856">
            <w:pPr>
              <w:pStyle w:val="ConsPlusNormal"/>
            </w:pPr>
          </w:p>
        </w:tc>
        <w:tc>
          <w:tcPr>
            <w:tcW w:w="1077" w:type="dxa"/>
          </w:tcPr>
          <w:p w:rsidR="00F27856" w:rsidRDefault="00F27856">
            <w:pPr>
              <w:pStyle w:val="ConsPlusNormal"/>
            </w:pPr>
          </w:p>
        </w:tc>
        <w:tc>
          <w:tcPr>
            <w:tcW w:w="850" w:type="dxa"/>
          </w:tcPr>
          <w:p w:rsidR="00F27856" w:rsidRDefault="00F27856">
            <w:pPr>
              <w:pStyle w:val="ConsPlusNormal"/>
            </w:pPr>
          </w:p>
        </w:tc>
        <w:tc>
          <w:tcPr>
            <w:tcW w:w="1701" w:type="dxa"/>
          </w:tcPr>
          <w:p w:rsidR="00F27856" w:rsidRDefault="00F27856">
            <w:pPr>
              <w:pStyle w:val="ConsPlusNormal"/>
            </w:pPr>
          </w:p>
        </w:tc>
        <w:tc>
          <w:tcPr>
            <w:tcW w:w="1077" w:type="dxa"/>
          </w:tcPr>
          <w:p w:rsidR="00F27856" w:rsidRDefault="00F27856">
            <w:pPr>
              <w:pStyle w:val="ConsPlusNormal"/>
            </w:pPr>
          </w:p>
        </w:tc>
      </w:tr>
    </w:tbl>
    <w:p w:rsidR="00F27856" w:rsidRDefault="00F27856">
      <w:pPr>
        <w:pStyle w:val="ConsPlusNormal"/>
        <w:jc w:val="both"/>
      </w:pPr>
    </w:p>
    <w:p w:rsidR="00F27856" w:rsidRDefault="00F27856">
      <w:pPr>
        <w:pStyle w:val="ConsPlusNormal"/>
        <w:ind w:firstLine="540"/>
        <w:jc w:val="both"/>
      </w:pPr>
      <w:r>
        <w:t>--------------------------------</w:t>
      </w:r>
    </w:p>
    <w:p w:rsidR="00F27856" w:rsidRDefault="00F27856">
      <w:pPr>
        <w:pStyle w:val="ConsPlusNormal"/>
        <w:spacing w:before="220"/>
        <w:ind w:firstLine="540"/>
        <w:jc w:val="both"/>
      </w:pPr>
      <w:r>
        <w:t>* Указать количественные и качественные показатели итогов реализации мероприятия проекта.</w:t>
      </w:r>
    </w:p>
    <w:p w:rsidR="00F27856" w:rsidRDefault="00F27856">
      <w:pPr>
        <w:pStyle w:val="ConsPlusNormal"/>
        <w:jc w:val="both"/>
      </w:pPr>
    </w:p>
    <w:p w:rsidR="00F27856" w:rsidRDefault="00F27856">
      <w:pPr>
        <w:pStyle w:val="ConsPlusNormal"/>
        <w:jc w:val="center"/>
        <w:outlineLvl w:val="2"/>
      </w:pPr>
      <w:r>
        <w:t>4. Финансово-экономическое обоснование мероприятий проекта</w:t>
      </w:r>
    </w:p>
    <w:p w:rsidR="00F27856" w:rsidRDefault="00F27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1474"/>
        <w:gridCol w:w="1077"/>
        <w:gridCol w:w="1247"/>
        <w:gridCol w:w="1474"/>
        <w:gridCol w:w="1814"/>
      </w:tblGrid>
      <w:tr w:rsidR="00F27856">
        <w:tc>
          <w:tcPr>
            <w:tcW w:w="454" w:type="dxa"/>
            <w:vMerge w:val="restart"/>
          </w:tcPr>
          <w:p w:rsidR="00F27856" w:rsidRDefault="00F27856">
            <w:pPr>
              <w:pStyle w:val="ConsPlusNormal"/>
              <w:jc w:val="center"/>
            </w:pPr>
            <w:r>
              <w:t xml:space="preserve">N </w:t>
            </w:r>
            <w:proofErr w:type="gramStart"/>
            <w:r>
              <w:t>п</w:t>
            </w:r>
            <w:proofErr w:type="gramEnd"/>
            <w:r>
              <w:t>/п</w:t>
            </w:r>
          </w:p>
        </w:tc>
        <w:tc>
          <w:tcPr>
            <w:tcW w:w="1531" w:type="dxa"/>
            <w:vMerge w:val="restart"/>
          </w:tcPr>
          <w:p w:rsidR="00F27856" w:rsidRDefault="00F27856">
            <w:pPr>
              <w:pStyle w:val="ConsPlusNormal"/>
              <w:jc w:val="center"/>
            </w:pPr>
            <w:r>
              <w:t xml:space="preserve">Порядковый номер в перечне основных мероприятий </w:t>
            </w:r>
            <w:r>
              <w:lastRenderedPageBreak/>
              <w:t>проекта</w:t>
            </w:r>
          </w:p>
        </w:tc>
        <w:tc>
          <w:tcPr>
            <w:tcW w:w="1474" w:type="dxa"/>
            <w:vMerge w:val="restart"/>
          </w:tcPr>
          <w:p w:rsidR="00F27856" w:rsidRDefault="00F27856">
            <w:pPr>
              <w:pStyle w:val="ConsPlusNormal"/>
              <w:jc w:val="center"/>
            </w:pPr>
            <w:r>
              <w:lastRenderedPageBreak/>
              <w:t>Наименование мероприятия</w:t>
            </w:r>
          </w:p>
        </w:tc>
        <w:tc>
          <w:tcPr>
            <w:tcW w:w="3798" w:type="dxa"/>
            <w:gridSpan w:val="3"/>
          </w:tcPr>
          <w:p w:rsidR="00F27856" w:rsidRDefault="00F27856">
            <w:pPr>
              <w:pStyle w:val="ConsPlusNormal"/>
              <w:jc w:val="center"/>
            </w:pPr>
            <w:r>
              <w:t>Расходы в рамках мероприятия</w:t>
            </w:r>
          </w:p>
        </w:tc>
        <w:tc>
          <w:tcPr>
            <w:tcW w:w="1814" w:type="dxa"/>
            <w:vMerge w:val="restart"/>
          </w:tcPr>
          <w:p w:rsidR="00F27856" w:rsidRDefault="00F27856">
            <w:pPr>
              <w:pStyle w:val="ConsPlusNormal"/>
              <w:jc w:val="center"/>
            </w:pPr>
            <w:r>
              <w:t>Ожидаемый результат от реализации мероприятия ****</w:t>
            </w:r>
          </w:p>
        </w:tc>
      </w:tr>
      <w:tr w:rsidR="00F27856">
        <w:tc>
          <w:tcPr>
            <w:tcW w:w="454" w:type="dxa"/>
            <w:vMerge/>
          </w:tcPr>
          <w:p w:rsidR="00F27856" w:rsidRDefault="00F27856"/>
        </w:tc>
        <w:tc>
          <w:tcPr>
            <w:tcW w:w="1531" w:type="dxa"/>
            <w:vMerge/>
          </w:tcPr>
          <w:p w:rsidR="00F27856" w:rsidRDefault="00F27856"/>
        </w:tc>
        <w:tc>
          <w:tcPr>
            <w:tcW w:w="1474" w:type="dxa"/>
            <w:vMerge/>
          </w:tcPr>
          <w:p w:rsidR="00F27856" w:rsidRDefault="00F27856"/>
        </w:tc>
        <w:tc>
          <w:tcPr>
            <w:tcW w:w="1077" w:type="dxa"/>
          </w:tcPr>
          <w:p w:rsidR="00F27856" w:rsidRDefault="00F27856">
            <w:pPr>
              <w:pStyle w:val="ConsPlusNormal"/>
              <w:jc w:val="center"/>
            </w:pPr>
            <w:r>
              <w:t>вид расхода *</w:t>
            </w:r>
          </w:p>
        </w:tc>
        <w:tc>
          <w:tcPr>
            <w:tcW w:w="1247" w:type="dxa"/>
          </w:tcPr>
          <w:p w:rsidR="00F27856" w:rsidRDefault="00F27856">
            <w:pPr>
              <w:pStyle w:val="ConsPlusNormal"/>
              <w:jc w:val="center"/>
            </w:pPr>
            <w:r>
              <w:t>расчет стоимости **</w:t>
            </w:r>
          </w:p>
        </w:tc>
        <w:tc>
          <w:tcPr>
            <w:tcW w:w="1474" w:type="dxa"/>
          </w:tcPr>
          <w:p w:rsidR="00F27856" w:rsidRDefault="00F27856">
            <w:pPr>
              <w:pStyle w:val="ConsPlusNormal"/>
              <w:jc w:val="center"/>
            </w:pPr>
            <w:r>
              <w:t>сумма (рублей) ***</w:t>
            </w:r>
          </w:p>
        </w:tc>
        <w:tc>
          <w:tcPr>
            <w:tcW w:w="1814" w:type="dxa"/>
            <w:vMerge/>
          </w:tcPr>
          <w:p w:rsidR="00F27856" w:rsidRDefault="00F27856"/>
        </w:tc>
      </w:tr>
      <w:tr w:rsidR="00F27856">
        <w:tc>
          <w:tcPr>
            <w:tcW w:w="454" w:type="dxa"/>
            <w:vMerge w:val="restart"/>
          </w:tcPr>
          <w:p w:rsidR="00F27856" w:rsidRDefault="00F27856">
            <w:pPr>
              <w:pStyle w:val="ConsPlusNormal"/>
            </w:pPr>
          </w:p>
        </w:tc>
        <w:tc>
          <w:tcPr>
            <w:tcW w:w="1531" w:type="dxa"/>
            <w:vMerge w:val="restart"/>
          </w:tcPr>
          <w:p w:rsidR="00F27856" w:rsidRDefault="00F27856">
            <w:pPr>
              <w:pStyle w:val="ConsPlusNormal"/>
            </w:pPr>
          </w:p>
        </w:tc>
        <w:tc>
          <w:tcPr>
            <w:tcW w:w="1474" w:type="dxa"/>
            <w:vMerge w:val="restart"/>
          </w:tcPr>
          <w:p w:rsidR="00F27856" w:rsidRDefault="00F27856">
            <w:pPr>
              <w:pStyle w:val="ConsPlusNormal"/>
            </w:pPr>
          </w:p>
        </w:tc>
        <w:tc>
          <w:tcPr>
            <w:tcW w:w="1077" w:type="dxa"/>
          </w:tcPr>
          <w:p w:rsidR="00F27856" w:rsidRDefault="00F27856">
            <w:pPr>
              <w:pStyle w:val="ConsPlusNormal"/>
            </w:pPr>
          </w:p>
        </w:tc>
        <w:tc>
          <w:tcPr>
            <w:tcW w:w="1247" w:type="dxa"/>
          </w:tcPr>
          <w:p w:rsidR="00F27856" w:rsidRDefault="00F27856">
            <w:pPr>
              <w:pStyle w:val="ConsPlusNormal"/>
            </w:pPr>
          </w:p>
        </w:tc>
        <w:tc>
          <w:tcPr>
            <w:tcW w:w="1474" w:type="dxa"/>
          </w:tcPr>
          <w:p w:rsidR="00F27856" w:rsidRDefault="00F27856">
            <w:pPr>
              <w:pStyle w:val="ConsPlusNormal"/>
            </w:pPr>
          </w:p>
        </w:tc>
        <w:tc>
          <w:tcPr>
            <w:tcW w:w="1814" w:type="dxa"/>
            <w:vMerge w:val="restart"/>
          </w:tcPr>
          <w:p w:rsidR="00F27856" w:rsidRDefault="00F27856">
            <w:pPr>
              <w:pStyle w:val="ConsPlusNormal"/>
            </w:pPr>
          </w:p>
        </w:tc>
      </w:tr>
      <w:tr w:rsidR="00F27856">
        <w:tc>
          <w:tcPr>
            <w:tcW w:w="454" w:type="dxa"/>
            <w:vMerge/>
          </w:tcPr>
          <w:p w:rsidR="00F27856" w:rsidRDefault="00F27856"/>
        </w:tc>
        <w:tc>
          <w:tcPr>
            <w:tcW w:w="1531" w:type="dxa"/>
            <w:vMerge/>
          </w:tcPr>
          <w:p w:rsidR="00F27856" w:rsidRDefault="00F27856"/>
        </w:tc>
        <w:tc>
          <w:tcPr>
            <w:tcW w:w="1474" w:type="dxa"/>
            <w:vMerge/>
          </w:tcPr>
          <w:p w:rsidR="00F27856" w:rsidRDefault="00F27856"/>
        </w:tc>
        <w:tc>
          <w:tcPr>
            <w:tcW w:w="1077" w:type="dxa"/>
          </w:tcPr>
          <w:p w:rsidR="00F27856" w:rsidRDefault="00F27856">
            <w:pPr>
              <w:pStyle w:val="ConsPlusNormal"/>
            </w:pPr>
          </w:p>
        </w:tc>
        <w:tc>
          <w:tcPr>
            <w:tcW w:w="1247" w:type="dxa"/>
          </w:tcPr>
          <w:p w:rsidR="00F27856" w:rsidRDefault="00F27856">
            <w:pPr>
              <w:pStyle w:val="ConsPlusNormal"/>
            </w:pPr>
          </w:p>
        </w:tc>
        <w:tc>
          <w:tcPr>
            <w:tcW w:w="1474" w:type="dxa"/>
          </w:tcPr>
          <w:p w:rsidR="00F27856" w:rsidRDefault="00F27856">
            <w:pPr>
              <w:pStyle w:val="ConsPlusNormal"/>
            </w:pPr>
          </w:p>
        </w:tc>
        <w:tc>
          <w:tcPr>
            <w:tcW w:w="1814" w:type="dxa"/>
            <w:vMerge/>
          </w:tcPr>
          <w:p w:rsidR="00F27856" w:rsidRDefault="00F27856"/>
        </w:tc>
      </w:tr>
      <w:tr w:rsidR="00F27856">
        <w:tc>
          <w:tcPr>
            <w:tcW w:w="454" w:type="dxa"/>
            <w:vMerge/>
          </w:tcPr>
          <w:p w:rsidR="00F27856" w:rsidRDefault="00F27856"/>
        </w:tc>
        <w:tc>
          <w:tcPr>
            <w:tcW w:w="1531" w:type="dxa"/>
            <w:vMerge/>
          </w:tcPr>
          <w:p w:rsidR="00F27856" w:rsidRDefault="00F27856"/>
        </w:tc>
        <w:tc>
          <w:tcPr>
            <w:tcW w:w="1474" w:type="dxa"/>
            <w:vMerge/>
          </w:tcPr>
          <w:p w:rsidR="00F27856" w:rsidRDefault="00F27856"/>
        </w:tc>
        <w:tc>
          <w:tcPr>
            <w:tcW w:w="1077" w:type="dxa"/>
          </w:tcPr>
          <w:p w:rsidR="00F27856" w:rsidRDefault="00F27856">
            <w:pPr>
              <w:pStyle w:val="ConsPlusNormal"/>
            </w:pPr>
          </w:p>
        </w:tc>
        <w:tc>
          <w:tcPr>
            <w:tcW w:w="1247" w:type="dxa"/>
          </w:tcPr>
          <w:p w:rsidR="00F27856" w:rsidRDefault="00F27856">
            <w:pPr>
              <w:pStyle w:val="ConsPlusNormal"/>
            </w:pPr>
          </w:p>
        </w:tc>
        <w:tc>
          <w:tcPr>
            <w:tcW w:w="1474" w:type="dxa"/>
          </w:tcPr>
          <w:p w:rsidR="00F27856" w:rsidRDefault="00F27856">
            <w:pPr>
              <w:pStyle w:val="ConsPlusNormal"/>
            </w:pPr>
          </w:p>
        </w:tc>
        <w:tc>
          <w:tcPr>
            <w:tcW w:w="1814" w:type="dxa"/>
            <w:vMerge/>
          </w:tcPr>
          <w:p w:rsidR="00F27856" w:rsidRDefault="00F27856"/>
        </w:tc>
      </w:tr>
      <w:tr w:rsidR="00F27856">
        <w:tc>
          <w:tcPr>
            <w:tcW w:w="454" w:type="dxa"/>
          </w:tcPr>
          <w:p w:rsidR="00F27856" w:rsidRDefault="00F27856">
            <w:pPr>
              <w:pStyle w:val="ConsPlusNormal"/>
            </w:pPr>
          </w:p>
        </w:tc>
        <w:tc>
          <w:tcPr>
            <w:tcW w:w="1531" w:type="dxa"/>
          </w:tcPr>
          <w:p w:rsidR="00F27856" w:rsidRDefault="00F27856">
            <w:pPr>
              <w:pStyle w:val="ConsPlusNormal"/>
            </w:pPr>
            <w:r>
              <w:t>Итого по мероприятию</w:t>
            </w:r>
          </w:p>
        </w:tc>
        <w:tc>
          <w:tcPr>
            <w:tcW w:w="1474" w:type="dxa"/>
          </w:tcPr>
          <w:p w:rsidR="00F27856" w:rsidRDefault="00F27856">
            <w:pPr>
              <w:pStyle w:val="ConsPlusNormal"/>
            </w:pPr>
            <w:r>
              <w:t>X</w:t>
            </w:r>
          </w:p>
        </w:tc>
        <w:tc>
          <w:tcPr>
            <w:tcW w:w="1077" w:type="dxa"/>
          </w:tcPr>
          <w:p w:rsidR="00F27856" w:rsidRDefault="00F27856">
            <w:pPr>
              <w:pStyle w:val="ConsPlusNormal"/>
            </w:pPr>
            <w:r>
              <w:t>X</w:t>
            </w:r>
          </w:p>
        </w:tc>
        <w:tc>
          <w:tcPr>
            <w:tcW w:w="1247" w:type="dxa"/>
          </w:tcPr>
          <w:p w:rsidR="00F27856" w:rsidRDefault="00F27856">
            <w:pPr>
              <w:pStyle w:val="ConsPlusNormal"/>
            </w:pPr>
            <w:r>
              <w:t>X</w:t>
            </w:r>
          </w:p>
        </w:tc>
        <w:tc>
          <w:tcPr>
            <w:tcW w:w="1474" w:type="dxa"/>
          </w:tcPr>
          <w:p w:rsidR="00F27856" w:rsidRDefault="00F27856">
            <w:pPr>
              <w:pStyle w:val="ConsPlusNormal"/>
            </w:pPr>
          </w:p>
        </w:tc>
        <w:tc>
          <w:tcPr>
            <w:tcW w:w="1814" w:type="dxa"/>
          </w:tcPr>
          <w:p w:rsidR="00F27856" w:rsidRDefault="00F27856">
            <w:pPr>
              <w:pStyle w:val="ConsPlusNormal"/>
            </w:pPr>
            <w:r>
              <w:t>X</w:t>
            </w:r>
          </w:p>
        </w:tc>
      </w:tr>
      <w:tr w:rsidR="00F27856">
        <w:tc>
          <w:tcPr>
            <w:tcW w:w="454" w:type="dxa"/>
            <w:vMerge w:val="restart"/>
          </w:tcPr>
          <w:p w:rsidR="00F27856" w:rsidRDefault="00F27856">
            <w:pPr>
              <w:pStyle w:val="ConsPlusNormal"/>
            </w:pPr>
          </w:p>
        </w:tc>
        <w:tc>
          <w:tcPr>
            <w:tcW w:w="1531" w:type="dxa"/>
            <w:vMerge w:val="restart"/>
          </w:tcPr>
          <w:p w:rsidR="00F27856" w:rsidRDefault="00F27856">
            <w:pPr>
              <w:pStyle w:val="ConsPlusNormal"/>
            </w:pPr>
          </w:p>
        </w:tc>
        <w:tc>
          <w:tcPr>
            <w:tcW w:w="1474" w:type="dxa"/>
            <w:vMerge w:val="restart"/>
          </w:tcPr>
          <w:p w:rsidR="00F27856" w:rsidRDefault="00F27856">
            <w:pPr>
              <w:pStyle w:val="ConsPlusNormal"/>
            </w:pPr>
          </w:p>
        </w:tc>
        <w:tc>
          <w:tcPr>
            <w:tcW w:w="1077" w:type="dxa"/>
          </w:tcPr>
          <w:p w:rsidR="00F27856" w:rsidRDefault="00F27856">
            <w:pPr>
              <w:pStyle w:val="ConsPlusNormal"/>
            </w:pPr>
          </w:p>
        </w:tc>
        <w:tc>
          <w:tcPr>
            <w:tcW w:w="1247" w:type="dxa"/>
          </w:tcPr>
          <w:p w:rsidR="00F27856" w:rsidRDefault="00F27856">
            <w:pPr>
              <w:pStyle w:val="ConsPlusNormal"/>
            </w:pPr>
          </w:p>
        </w:tc>
        <w:tc>
          <w:tcPr>
            <w:tcW w:w="1474" w:type="dxa"/>
          </w:tcPr>
          <w:p w:rsidR="00F27856" w:rsidRDefault="00F27856">
            <w:pPr>
              <w:pStyle w:val="ConsPlusNormal"/>
            </w:pPr>
          </w:p>
        </w:tc>
        <w:tc>
          <w:tcPr>
            <w:tcW w:w="1814" w:type="dxa"/>
            <w:vMerge w:val="restart"/>
          </w:tcPr>
          <w:p w:rsidR="00F27856" w:rsidRDefault="00F27856">
            <w:pPr>
              <w:pStyle w:val="ConsPlusNormal"/>
            </w:pPr>
          </w:p>
        </w:tc>
      </w:tr>
      <w:tr w:rsidR="00F27856">
        <w:tc>
          <w:tcPr>
            <w:tcW w:w="454" w:type="dxa"/>
            <w:vMerge/>
          </w:tcPr>
          <w:p w:rsidR="00F27856" w:rsidRDefault="00F27856"/>
        </w:tc>
        <w:tc>
          <w:tcPr>
            <w:tcW w:w="1531" w:type="dxa"/>
            <w:vMerge/>
          </w:tcPr>
          <w:p w:rsidR="00F27856" w:rsidRDefault="00F27856"/>
        </w:tc>
        <w:tc>
          <w:tcPr>
            <w:tcW w:w="1474" w:type="dxa"/>
            <w:vMerge/>
          </w:tcPr>
          <w:p w:rsidR="00F27856" w:rsidRDefault="00F27856"/>
        </w:tc>
        <w:tc>
          <w:tcPr>
            <w:tcW w:w="1077" w:type="dxa"/>
          </w:tcPr>
          <w:p w:rsidR="00F27856" w:rsidRDefault="00F27856">
            <w:pPr>
              <w:pStyle w:val="ConsPlusNormal"/>
            </w:pPr>
          </w:p>
        </w:tc>
        <w:tc>
          <w:tcPr>
            <w:tcW w:w="1247" w:type="dxa"/>
          </w:tcPr>
          <w:p w:rsidR="00F27856" w:rsidRDefault="00F27856">
            <w:pPr>
              <w:pStyle w:val="ConsPlusNormal"/>
            </w:pPr>
          </w:p>
        </w:tc>
        <w:tc>
          <w:tcPr>
            <w:tcW w:w="1474" w:type="dxa"/>
          </w:tcPr>
          <w:p w:rsidR="00F27856" w:rsidRDefault="00F27856">
            <w:pPr>
              <w:pStyle w:val="ConsPlusNormal"/>
            </w:pPr>
          </w:p>
        </w:tc>
        <w:tc>
          <w:tcPr>
            <w:tcW w:w="1814" w:type="dxa"/>
            <w:vMerge/>
          </w:tcPr>
          <w:p w:rsidR="00F27856" w:rsidRDefault="00F27856"/>
        </w:tc>
      </w:tr>
      <w:tr w:rsidR="00F27856">
        <w:tc>
          <w:tcPr>
            <w:tcW w:w="454" w:type="dxa"/>
            <w:vMerge/>
          </w:tcPr>
          <w:p w:rsidR="00F27856" w:rsidRDefault="00F27856"/>
        </w:tc>
        <w:tc>
          <w:tcPr>
            <w:tcW w:w="1531" w:type="dxa"/>
            <w:vMerge/>
          </w:tcPr>
          <w:p w:rsidR="00F27856" w:rsidRDefault="00F27856"/>
        </w:tc>
        <w:tc>
          <w:tcPr>
            <w:tcW w:w="1474" w:type="dxa"/>
            <w:vMerge/>
          </w:tcPr>
          <w:p w:rsidR="00F27856" w:rsidRDefault="00F27856"/>
        </w:tc>
        <w:tc>
          <w:tcPr>
            <w:tcW w:w="1077" w:type="dxa"/>
          </w:tcPr>
          <w:p w:rsidR="00F27856" w:rsidRDefault="00F27856">
            <w:pPr>
              <w:pStyle w:val="ConsPlusNormal"/>
            </w:pPr>
          </w:p>
        </w:tc>
        <w:tc>
          <w:tcPr>
            <w:tcW w:w="1247" w:type="dxa"/>
          </w:tcPr>
          <w:p w:rsidR="00F27856" w:rsidRDefault="00F27856">
            <w:pPr>
              <w:pStyle w:val="ConsPlusNormal"/>
            </w:pPr>
          </w:p>
        </w:tc>
        <w:tc>
          <w:tcPr>
            <w:tcW w:w="1474" w:type="dxa"/>
          </w:tcPr>
          <w:p w:rsidR="00F27856" w:rsidRDefault="00F27856">
            <w:pPr>
              <w:pStyle w:val="ConsPlusNormal"/>
            </w:pPr>
          </w:p>
        </w:tc>
        <w:tc>
          <w:tcPr>
            <w:tcW w:w="1814" w:type="dxa"/>
            <w:vMerge/>
          </w:tcPr>
          <w:p w:rsidR="00F27856" w:rsidRDefault="00F27856"/>
        </w:tc>
      </w:tr>
      <w:tr w:rsidR="00F27856">
        <w:tc>
          <w:tcPr>
            <w:tcW w:w="454" w:type="dxa"/>
          </w:tcPr>
          <w:p w:rsidR="00F27856" w:rsidRDefault="00F27856">
            <w:pPr>
              <w:pStyle w:val="ConsPlusNormal"/>
            </w:pPr>
          </w:p>
        </w:tc>
        <w:tc>
          <w:tcPr>
            <w:tcW w:w="1531" w:type="dxa"/>
          </w:tcPr>
          <w:p w:rsidR="00F27856" w:rsidRDefault="00F27856">
            <w:pPr>
              <w:pStyle w:val="ConsPlusNormal"/>
            </w:pPr>
            <w:r>
              <w:t>Итого по мероприятию</w:t>
            </w:r>
          </w:p>
        </w:tc>
        <w:tc>
          <w:tcPr>
            <w:tcW w:w="1474" w:type="dxa"/>
          </w:tcPr>
          <w:p w:rsidR="00F27856" w:rsidRDefault="00F27856">
            <w:pPr>
              <w:pStyle w:val="ConsPlusNormal"/>
            </w:pPr>
            <w:r>
              <w:t>X</w:t>
            </w:r>
          </w:p>
        </w:tc>
        <w:tc>
          <w:tcPr>
            <w:tcW w:w="1077" w:type="dxa"/>
          </w:tcPr>
          <w:p w:rsidR="00F27856" w:rsidRDefault="00F27856">
            <w:pPr>
              <w:pStyle w:val="ConsPlusNormal"/>
            </w:pPr>
            <w:r>
              <w:t>X</w:t>
            </w:r>
          </w:p>
        </w:tc>
        <w:tc>
          <w:tcPr>
            <w:tcW w:w="1247" w:type="dxa"/>
          </w:tcPr>
          <w:p w:rsidR="00F27856" w:rsidRDefault="00F27856">
            <w:pPr>
              <w:pStyle w:val="ConsPlusNormal"/>
            </w:pPr>
            <w:r>
              <w:t>X</w:t>
            </w:r>
          </w:p>
        </w:tc>
        <w:tc>
          <w:tcPr>
            <w:tcW w:w="1474" w:type="dxa"/>
          </w:tcPr>
          <w:p w:rsidR="00F27856" w:rsidRDefault="00F27856">
            <w:pPr>
              <w:pStyle w:val="ConsPlusNormal"/>
            </w:pPr>
          </w:p>
        </w:tc>
        <w:tc>
          <w:tcPr>
            <w:tcW w:w="1814" w:type="dxa"/>
          </w:tcPr>
          <w:p w:rsidR="00F27856" w:rsidRDefault="00F27856">
            <w:pPr>
              <w:pStyle w:val="ConsPlusNormal"/>
            </w:pPr>
            <w:r>
              <w:t>X</w:t>
            </w:r>
          </w:p>
        </w:tc>
      </w:tr>
      <w:tr w:rsidR="00F27856">
        <w:tc>
          <w:tcPr>
            <w:tcW w:w="454" w:type="dxa"/>
          </w:tcPr>
          <w:p w:rsidR="00F27856" w:rsidRDefault="00F27856">
            <w:pPr>
              <w:pStyle w:val="ConsPlusNormal"/>
            </w:pPr>
          </w:p>
        </w:tc>
        <w:tc>
          <w:tcPr>
            <w:tcW w:w="1531" w:type="dxa"/>
          </w:tcPr>
          <w:p w:rsidR="00F27856" w:rsidRDefault="00F27856">
            <w:pPr>
              <w:pStyle w:val="ConsPlusNormal"/>
            </w:pPr>
            <w:r>
              <w:t>Итого *****</w:t>
            </w:r>
          </w:p>
        </w:tc>
        <w:tc>
          <w:tcPr>
            <w:tcW w:w="1474" w:type="dxa"/>
          </w:tcPr>
          <w:p w:rsidR="00F27856" w:rsidRDefault="00F27856">
            <w:pPr>
              <w:pStyle w:val="ConsPlusNormal"/>
            </w:pPr>
            <w:r>
              <w:t>X</w:t>
            </w:r>
          </w:p>
        </w:tc>
        <w:tc>
          <w:tcPr>
            <w:tcW w:w="1077" w:type="dxa"/>
          </w:tcPr>
          <w:p w:rsidR="00F27856" w:rsidRDefault="00F27856">
            <w:pPr>
              <w:pStyle w:val="ConsPlusNormal"/>
            </w:pPr>
            <w:r>
              <w:t>X</w:t>
            </w:r>
          </w:p>
        </w:tc>
        <w:tc>
          <w:tcPr>
            <w:tcW w:w="1247" w:type="dxa"/>
          </w:tcPr>
          <w:p w:rsidR="00F27856" w:rsidRDefault="00F27856">
            <w:pPr>
              <w:pStyle w:val="ConsPlusNormal"/>
            </w:pPr>
            <w:r>
              <w:t>X</w:t>
            </w:r>
          </w:p>
        </w:tc>
        <w:tc>
          <w:tcPr>
            <w:tcW w:w="1474" w:type="dxa"/>
          </w:tcPr>
          <w:p w:rsidR="00F27856" w:rsidRDefault="00F27856">
            <w:pPr>
              <w:pStyle w:val="ConsPlusNormal"/>
            </w:pPr>
          </w:p>
        </w:tc>
        <w:tc>
          <w:tcPr>
            <w:tcW w:w="1814" w:type="dxa"/>
          </w:tcPr>
          <w:p w:rsidR="00F27856" w:rsidRDefault="00F27856">
            <w:pPr>
              <w:pStyle w:val="ConsPlusNormal"/>
            </w:pPr>
            <w:r>
              <w:t>X</w:t>
            </w:r>
          </w:p>
        </w:tc>
      </w:tr>
    </w:tbl>
    <w:p w:rsidR="00F27856" w:rsidRDefault="00F27856">
      <w:pPr>
        <w:pStyle w:val="ConsPlusNormal"/>
        <w:jc w:val="both"/>
      </w:pPr>
    </w:p>
    <w:p w:rsidR="00F27856" w:rsidRDefault="00F27856">
      <w:pPr>
        <w:pStyle w:val="ConsPlusNormal"/>
        <w:ind w:firstLine="540"/>
        <w:jc w:val="both"/>
      </w:pPr>
      <w:r>
        <w:t>--------------------------------</w:t>
      </w:r>
    </w:p>
    <w:p w:rsidR="00F27856" w:rsidRDefault="00F27856">
      <w:pPr>
        <w:pStyle w:val="ConsPlusNormal"/>
        <w:spacing w:before="220"/>
        <w:ind w:firstLine="540"/>
        <w:jc w:val="both"/>
      </w:pPr>
      <w:proofErr w:type="gramStart"/>
      <w:r>
        <w:t>*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w:t>
      </w:r>
      <w:proofErr w:type="gramEnd"/>
      <w:r>
        <w:t xml:space="preserve"> Федерации, оплату расходов по коммунальным услугам, услугам связи, связанным с реализацией проекта.</w:t>
      </w:r>
    </w:p>
    <w:p w:rsidR="00F27856" w:rsidRDefault="00F27856">
      <w:pPr>
        <w:pStyle w:val="ConsPlusNormal"/>
        <w:spacing w:before="220"/>
        <w:ind w:firstLine="540"/>
        <w:jc w:val="both"/>
      </w:pPr>
      <w:r>
        <w:t>** Расчет стоимости в разрезе отдельных элементов затрат (стоимость единицы и количество).</w:t>
      </w:r>
    </w:p>
    <w:p w:rsidR="00F27856" w:rsidRDefault="00F27856">
      <w:pPr>
        <w:pStyle w:val="ConsPlusNormal"/>
        <w:spacing w:before="220"/>
        <w:ind w:firstLine="540"/>
        <w:jc w:val="both"/>
      </w:pPr>
      <w:r>
        <w:t>*** Сумма расходов по каждому указанному виду расходов с подведением итога в целом по мероприятию.</w:t>
      </w:r>
    </w:p>
    <w:p w:rsidR="00F27856" w:rsidRDefault="00F27856">
      <w:pPr>
        <w:pStyle w:val="ConsPlusNormal"/>
        <w:spacing w:before="220"/>
        <w:ind w:firstLine="540"/>
        <w:jc w:val="both"/>
      </w:pPr>
      <w:r>
        <w:t>**** Указать количественные и качественные показатели итогов реализации мероприятия проекта.</w:t>
      </w:r>
    </w:p>
    <w:p w:rsidR="00F27856" w:rsidRDefault="00F27856">
      <w:pPr>
        <w:pStyle w:val="ConsPlusNormal"/>
        <w:spacing w:before="220"/>
        <w:ind w:firstLine="540"/>
        <w:jc w:val="both"/>
      </w:pPr>
      <w:r>
        <w:t>*****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rsidR="00F27856" w:rsidRDefault="00F27856">
      <w:pPr>
        <w:pStyle w:val="ConsPlusNormal"/>
        <w:jc w:val="both"/>
      </w:pPr>
    </w:p>
    <w:p w:rsidR="00F27856" w:rsidRDefault="00F27856">
      <w:pPr>
        <w:pStyle w:val="ConsPlusNonformat"/>
        <w:jc w:val="both"/>
      </w:pPr>
      <w:r>
        <w:t>Руководитель некоммерческой организации ____________ ______________________</w:t>
      </w:r>
    </w:p>
    <w:p w:rsidR="00F27856" w:rsidRDefault="00F27856">
      <w:pPr>
        <w:pStyle w:val="ConsPlusNonformat"/>
        <w:jc w:val="both"/>
      </w:pPr>
      <w:r>
        <w:t xml:space="preserve">                                         (подпись)   (расшифровка подписи)</w:t>
      </w:r>
    </w:p>
    <w:p w:rsidR="00F27856" w:rsidRDefault="00F27856">
      <w:pPr>
        <w:pStyle w:val="ConsPlusNonformat"/>
        <w:jc w:val="both"/>
      </w:pPr>
    </w:p>
    <w:p w:rsidR="00F27856" w:rsidRDefault="00F27856">
      <w:pPr>
        <w:pStyle w:val="ConsPlusNonformat"/>
        <w:jc w:val="both"/>
      </w:pPr>
      <w:r>
        <w:t>Дата "__"__________ 20__ г.               М.П.</w:t>
      </w:r>
    </w:p>
    <w:p w:rsidR="00F27856" w:rsidRDefault="00F27856">
      <w:pPr>
        <w:pStyle w:val="ConsPlusNormal"/>
        <w:jc w:val="both"/>
      </w:pPr>
    </w:p>
    <w:p w:rsidR="00F27856" w:rsidRDefault="00F27856">
      <w:pPr>
        <w:pStyle w:val="ConsPlusNormal"/>
        <w:jc w:val="both"/>
      </w:pPr>
    </w:p>
    <w:p w:rsidR="00F27856" w:rsidRDefault="00F27856">
      <w:pPr>
        <w:pStyle w:val="ConsPlusNormal"/>
        <w:pBdr>
          <w:top w:val="single" w:sz="6" w:space="0" w:color="auto"/>
        </w:pBdr>
        <w:spacing w:before="100" w:after="100"/>
        <w:jc w:val="both"/>
        <w:rPr>
          <w:sz w:val="2"/>
          <w:szCs w:val="2"/>
        </w:rPr>
      </w:pPr>
    </w:p>
    <w:p w:rsidR="002112E4" w:rsidRDefault="002112E4"/>
    <w:sectPr w:rsidR="002112E4" w:rsidSect="001D7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7856"/>
    <w:rsid w:val="000546A7"/>
    <w:rsid w:val="000555C5"/>
    <w:rsid w:val="000F199D"/>
    <w:rsid w:val="002112E4"/>
    <w:rsid w:val="0022070C"/>
    <w:rsid w:val="002E21BD"/>
    <w:rsid w:val="002F3BF6"/>
    <w:rsid w:val="0040268B"/>
    <w:rsid w:val="00474C85"/>
    <w:rsid w:val="00506FC4"/>
    <w:rsid w:val="00566275"/>
    <w:rsid w:val="005E1708"/>
    <w:rsid w:val="00615ED9"/>
    <w:rsid w:val="00690A7B"/>
    <w:rsid w:val="006D5DC3"/>
    <w:rsid w:val="00790E69"/>
    <w:rsid w:val="008533E7"/>
    <w:rsid w:val="008771F5"/>
    <w:rsid w:val="009103F7"/>
    <w:rsid w:val="0097581D"/>
    <w:rsid w:val="009C2306"/>
    <w:rsid w:val="00A41130"/>
    <w:rsid w:val="00BA5D74"/>
    <w:rsid w:val="00BB2178"/>
    <w:rsid w:val="00C93C01"/>
    <w:rsid w:val="00CD60FB"/>
    <w:rsid w:val="00CF5581"/>
    <w:rsid w:val="00EA3D31"/>
    <w:rsid w:val="00F27856"/>
    <w:rsid w:val="00FD21B0"/>
    <w:rsid w:val="00FF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8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C7A51C686E6E07F320AF242552C5099806552E2E9D5C56764285FDC1EDEED0818D4A8C1A34ED5229BA8C0720B94AD5F7153015E63AAE7130EFAD1dDC" TargetMode="External"/><Relationship Id="rId3" Type="http://schemas.openxmlformats.org/officeDocument/2006/relationships/webSettings" Target="webSettings.xml"/><Relationship Id="rId7" Type="http://schemas.openxmlformats.org/officeDocument/2006/relationships/hyperlink" Target="consultantplus://offline/ref=356C7A51C686E6E07F3214FF543970559E8A3A59ECECDE95393B73028B17D4BA4F578DEA85AE4FD52591F8993D0AC8E90E6253015E61AEF8D1d8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6C7A51C686E6E07F3214FF543970559E8A3F57E8EDDE95393B73028B17D4BA4F578DEF83AF47DE76CBE89D745FC1F70A784D074062DAd7C" TargetMode="External"/><Relationship Id="rId11" Type="http://schemas.openxmlformats.org/officeDocument/2006/relationships/fontTable" Target="fontTable.xml"/><Relationship Id="rId5" Type="http://schemas.openxmlformats.org/officeDocument/2006/relationships/hyperlink" Target="consultantplus://offline/ref=356C7A51C686E6E07F320AF242552C5099806552E2E9DDC26464285FDC1EDEED0818D4A8C1A34ED5229AAECD720B94AD5F7153015E63AAE7130EFAD1dDC" TargetMode="External"/><Relationship Id="rId10" Type="http://schemas.openxmlformats.org/officeDocument/2006/relationships/hyperlink" Target="consultantplus://offline/ref=356C7A51C686E6E07F320AF242552C5099806552E2E9D7C06C64285FDC1EDEED0818D4A8C1A34ED72A9EAACD720B94AD5F7153015E63AAE7130EFAD1dD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6C7A51C686E6E07F320AF242552C5099806552E2E9DDC26464285FDC1EDEED0818D4A8C1A34ED5229AAECE720B94AD5F7153015E63AAE7130EFAD1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3892</Words>
  <Characters>22191</Characters>
  <Application>Microsoft Office Word</Application>
  <DocSecurity>0</DocSecurity>
  <Lines>184</Lines>
  <Paragraphs>52</Paragraphs>
  <ScaleCrop>false</ScaleCrop>
  <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Холодок Елена А.</dc:creator>
  <cp:lastModifiedBy>Холодок Елена А.</cp:lastModifiedBy>
  <cp:revision>1</cp:revision>
  <dcterms:created xsi:type="dcterms:W3CDTF">2019-04-04T02:29:00Z</dcterms:created>
  <dcterms:modified xsi:type="dcterms:W3CDTF">2019-04-04T02:29:00Z</dcterms:modified>
</cp:coreProperties>
</file>